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F230" w14:textId="01E1C5CC" w:rsidR="00661153" w:rsidRDefault="005A6A6A" w:rsidP="00746EE6">
      <w:pPr>
        <w:pStyle w:val="Titel"/>
      </w:pPr>
      <w:r w:rsidRPr="00746EE6">
        <w:t xml:space="preserve">Evaluatie Corona-Hinderpremie </w:t>
      </w:r>
    </w:p>
    <w:sdt>
      <w:sdtPr>
        <w:rPr>
          <w:rFonts w:asciiTheme="minorHAnsi" w:eastAsiaTheme="minorHAnsi" w:hAnsiTheme="minorHAnsi" w:cstheme="minorBidi"/>
          <w:color w:val="auto"/>
          <w:sz w:val="22"/>
          <w:szCs w:val="22"/>
          <w:lang w:val="nl-NL" w:eastAsia="en-US"/>
        </w:rPr>
        <w:id w:val="-120769507"/>
        <w:docPartObj>
          <w:docPartGallery w:val="Table of Contents"/>
          <w:docPartUnique/>
        </w:docPartObj>
      </w:sdtPr>
      <w:sdtEndPr>
        <w:rPr>
          <w:b/>
          <w:bCs/>
        </w:rPr>
      </w:sdtEndPr>
      <w:sdtContent>
        <w:p w14:paraId="53825F8A" w14:textId="2074A702" w:rsidR="00CE2AE5" w:rsidRDefault="00CE2AE5">
          <w:pPr>
            <w:pStyle w:val="Kopvaninhoudsopgave"/>
          </w:pPr>
          <w:r>
            <w:rPr>
              <w:lang w:val="nl-NL"/>
            </w:rPr>
            <w:t>Inhoud</w:t>
          </w:r>
        </w:p>
        <w:p w14:paraId="3A46A775" w14:textId="75B70BFA" w:rsidR="0054317B" w:rsidRDefault="00CE2AE5">
          <w:pPr>
            <w:pStyle w:val="Inhopg1"/>
            <w:rPr>
              <w:rFonts w:eastAsiaTheme="minorEastAsia"/>
              <w:noProof/>
              <w:lang w:eastAsia="nl-BE"/>
            </w:rPr>
          </w:pPr>
          <w:r>
            <w:fldChar w:fldCharType="begin"/>
          </w:r>
          <w:r>
            <w:instrText xml:space="preserve"> TOC \o "1-3" \h \z \u </w:instrText>
          </w:r>
          <w:r>
            <w:fldChar w:fldCharType="separate"/>
          </w:r>
          <w:hyperlink w:anchor="_Toc44512049" w:history="1">
            <w:r w:rsidR="0054317B" w:rsidRPr="0098754B">
              <w:rPr>
                <w:rStyle w:val="Hyperlink"/>
                <w:noProof/>
              </w:rPr>
              <w:t>Inleiding</w:t>
            </w:r>
            <w:r w:rsidR="0054317B">
              <w:rPr>
                <w:noProof/>
                <w:webHidden/>
              </w:rPr>
              <w:tab/>
            </w:r>
            <w:r w:rsidR="0054317B">
              <w:rPr>
                <w:noProof/>
                <w:webHidden/>
              </w:rPr>
              <w:fldChar w:fldCharType="begin"/>
            </w:r>
            <w:r w:rsidR="0054317B">
              <w:rPr>
                <w:noProof/>
                <w:webHidden/>
              </w:rPr>
              <w:instrText xml:space="preserve"> PAGEREF _Toc44512049 \h </w:instrText>
            </w:r>
            <w:r w:rsidR="0054317B">
              <w:rPr>
                <w:noProof/>
                <w:webHidden/>
              </w:rPr>
            </w:r>
            <w:r w:rsidR="0054317B">
              <w:rPr>
                <w:noProof/>
                <w:webHidden/>
              </w:rPr>
              <w:fldChar w:fldCharType="separate"/>
            </w:r>
            <w:r w:rsidR="0054317B">
              <w:rPr>
                <w:noProof/>
                <w:webHidden/>
              </w:rPr>
              <w:t>2</w:t>
            </w:r>
            <w:r w:rsidR="0054317B">
              <w:rPr>
                <w:noProof/>
                <w:webHidden/>
              </w:rPr>
              <w:fldChar w:fldCharType="end"/>
            </w:r>
          </w:hyperlink>
        </w:p>
        <w:p w14:paraId="43930819" w14:textId="2C942E64" w:rsidR="0054317B" w:rsidRDefault="009064DA">
          <w:pPr>
            <w:pStyle w:val="Inhopg1"/>
            <w:rPr>
              <w:rFonts w:eastAsiaTheme="minorEastAsia"/>
              <w:noProof/>
              <w:lang w:eastAsia="nl-BE"/>
            </w:rPr>
          </w:pPr>
          <w:hyperlink w:anchor="_Toc44512050" w:history="1">
            <w:r w:rsidR="0054317B" w:rsidRPr="0098754B">
              <w:rPr>
                <w:rStyle w:val="Hyperlink"/>
                <w:noProof/>
              </w:rPr>
              <w:t>1. Stand van zaken corona-hinderpremie</w:t>
            </w:r>
            <w:r w:rsidR="0054317B">
              <w:rPr>
                <w:noProof/>
                <w:webHidden/>
              </w:rPr>
              <w:tab/>
            </w:r>
            <w:r w:rsidR="0054317B">
              <w:rPr>
                <w:noProof/>
                <w:webHidden/>
              </w:rPr>
              <w:fldChar w:fldCharType="begin"/>
            </w:r>
            <w:r w:rsidR="0054317B">
              <w:rPr>
                <w:noProof/>
                <w:webHidden/>
              </w:rPr>
              <w:instrText xml:space="preserve"> PAGEREF _Toc44512050 \h </w:instrText>
            </w:r>
            <w:r w:rsidR="0054317B">
              <w:rPr>
                <w:noProof/>
                <w:webHidden/>
              </w:rPr>
            </w:r>
            <w:r w:rsidR="0054317B">
              <w:rPr>
                <w:noProof/>
                <w:webHidden/>
              </w:rPr>
              <w:fldChar w:fldCharType="separate"/>
            </w:r>
            <w:r w:rsidR="0054317B">
              <w:rPr>
                <w:noProof/>
                <w:webHidden/>
              </w:rPr>
              <w:t>2</w:t>
            </w:r>
            <w:r w:rsidR="0054317B">
              <w:rPr>
                <w:noProof/>
                <w:webHidden/>
              </w:rPr>
              <w:fldChar w:fldCharType="end"/>
            </w:r>
          </w:hyperlink>
        </w:p>
        <w:p w14:paraId="7AAA83B1" w14:textId="1F098FAE" w:rsidR="0054317B" w:rsidRDefault="009064DA">
          <w:pPr>
            <w:pStyle w:val="Inhopg2"/>
            <w:tabs>
              <w:tab w:val="right" w:leader="dot" w:pos="9062"/>
            </w:tabs>
            <w:rPr>
              <w:rFonts w:eastAsiaTheme="minorEastAsia"/>
              <w:noProof/>
              <w:lang w:eastAsia="nl-BE"/>
            </w:rPr>
          </w:pPr>
          <w:hyperlink w:anchor="_Toc44512051" w:history="1">
            <w:r w:rsidR="0054317B" w:rsidRPr="0098754B">
              <w:rPr>
                <w:rStyle w:val="Hyperlink"/>
                <w:noProof/>
              </w:rPr>
              <w:t>1.1. Globaal aantal toegekende corona-hinderpremies</w:t>
            </w:r>
            <w:r w:rsidR="0054317B">
              <w:rPr>
                <w:noProof/>
                <w:webHidden/>
              </w:rPr>
              <w:tab/>
            </w:r>
            <w:r w:rsidR="0054317B">
              <w:rPr>
                <w:noProof/>
                <w:webHidden/>
              </w:rPr>
              <w:fldChar w:fldCharType="begin"/>
            </w:r>
            <w:r w:rsidR="0054317B">
              <w:rPr>
                <w:noProof/>
                <w:webHidden/>
              </w:rPr>
              <w:instrText xml:space="preserve"> PAGEREF _Toc44512051 \h </w:instrText>
            </w:r>
            <w:r w:rsidR="0054317B">
              <w:rPr>
                <w:noProof/>
                <w:webHidden/>
              </w:rPr>
            </w:r>
            <w:r w:rsidR="0054317B">
              <w:rPr>
                <w:noProof/>
                <w:webHidden/>
              </w:rPr>
              <w:fldChar w:fldCharType="separate"/>
            </w:r>
            <w:r w:rsidR="0054317B">
              <w:rPr>
                <w:noProof/>
                <w:webHidden/>
              </w:rPr>
              <w:t>2</w:t>
            </w:r>
            <w:r w:rsidR="0054317B">
              <w:rPr>
                <w:noProof/>
                <w:webHidden/>
              </w:rPr>
              <w:fldChar w:fldCharType="end"/>
            </w:r>
          </w:hyperlink>
        </w:p>
        <w:p w14:paraId="7A8B0A9E" w14:textId="65881958" w:rsidR="0054317B" w:rsidRDefault="009064DA">
          <w:pPr>
            <w:pStyle w:val="Inhopg2"/>
            <w:tabs>
              <w:tab w:val="right" w:leader="dot" w:pos="9062"/>
            </w:tabs>
            <w:rPr>
              <w:rFonts w:eastAsiaTheme="minorEastAsia"/>
              <w:noProof/>
              <w:lang w:eastAsia="nl-BE"/>
            </w:rPr>
          </w:pPr>
          <w:hyperlink w:anchor="_Toc44512052" w:history="1">
            <w:r w:rsidR="0054317B" w:rsidRPr="0098754B">
              <w:rPr>
                <w:rStyle w:val="Hyperlink"/>
                <w:noProof/>
              </w:rPr>
              <w:t>1.2. Sectorale verdeling</w:t>
            </w:r>
            <w:r w:rsidR="0054317B">
              <w:rPr>
                <w:noProof/>
                <w:webHidden/>
              </w:rPr>
              <w:tab/>
            </w:r>
            <w:r w:rsidR="0054317B">
              <w:rPr>
                <w:noProof/>
                <w:webHidden/>
              </w:rPr>
              <w:fldChar w:fldCharType="begin"/>
            </w:r>
            <w:r w:rsidR="0054317B">
              <w:rPr>
                <w:noProof/>
                <w:webHidden/>
              </w:rPr>
              <w:instrText xml:space="preserve"> PAGEREF _Toc44512052 \h </w:instrText>
            </w:r>
            <w:r w:rsidR="0054317B">
              <w:rPr>
                <w:noProof/>
                <w:webHidden/>
              </w:rPr>
            </w:r>
            <w:r w:rsidR="0054317B">
              <w:rPr>
                <w:noProof/>
                <w:webHidden/>
              </w:rPr>
              <w:fldChar w:fldCharType="separate"/>
            </w:r>
            <w:r w:rsidR="0054317B">
              <w:rPr>
                <w:noProof/>
                <w:webHidden/>
              </w:rPr>
              <w:t>3</w:t>
            </w:r>
            <w:r w:rsidR="0054317B">
              <w:rPr>
                <w:noProof/>
                <w:webHidden/>
              </w:rPr>
              <w:fldChar w:fldCharType="end"/>
            </w:r>
          </w:hyperlink>
        </w:p>
        <w:p w14:paraId="43235033" w14:textId="758C2888" w:rsidR="0054317B" w:rsidRDefault="009064DA">
          <w:pPr>
            <w:pStyle w:val="Inhopg3"/>
            <w:tabs>
              <w:tab w:val="right" w:leader="dot" w:pos="9062"/>
            </w:tabs>
            <w:rPr>
              <w:rFonts w:eastAsiaTheme="minorEastAsia"/>
              <w:noProof/>
              <w:lang w:eastAsia="nl-BE"/>
            </w:rPr>
          </w:pPr>
          <w:hyperlink w:anchor="_Toc44512053" w:history="1">
            <w:r w:rsidR="0054317B" w:rsidRPr="0098754B">
              <w:rPr>
                <w:rStyle w:val="Hyperlink"/>
                <w:noProof/>
              </w:rPr>
              <w:t>Top 20</w:t>
            </w:r>
            <w:r w:rsidR="0054317B">
              <w:rPr>
                <w:noProof/>
                <w:webHidden/>
              </w:rPr>
              <w:tab/>
            </w:r>
            <w:r w:rsidR="0054317B">
              <w:rPr>
                <w:noProof/>
                <w:webHidden/>
              </w:rPr>
              <w:fldChar w:fldCharType="begin"/>
            </w:r>
            <w:r w:rsidR="0054317B">
              <w:rPr>
                <w:noProof/>
                <w:webHidden/>
              </w:rPr>
              <w:instrText xml:space="preserve"> PAGEREF _Toc44512053 \h </w:instrText>
            </w:r>
            <w:r w:rsidR="0054317B">
              <w:rPr>
                <w:noProof/>
                <w:webHidden/>
              </w:rPr>
            </w:r>
            <w:r w:rsidR="0054317B">
              <w:rPr>
                <w:noProof/>
                <w:webHidden/>
              </w:rPr>
              <w:fldChar w:fldCharType="separate"/>
            </w:r>
            <w:r w:rsidR="0054317B">
              <w:rPr>
                <w:noProof/>
                <w:webHidden/>
              </w:rPr>
              <w:t>4</w:t>
            </w:r>
            <w:r w:rsidR="0054317B">
              <w:rPr>
                <w:noProof/>
                <w:webHidden/>
              </w:rPr>
              <w:fldChar w:fldCharType="end"/>
            </w:r>
          </w:hyperlink>
        </w:p>
        <w:p w14:paraId="3CC897A8" w14:textId="68556AB9" w:rsidR="0054317B" w:rsidRDefault="009064DA">
          <w:pPr>
            <w:pStyle w:val="Inhopg2"/>
            <w:tabs>
              <w:tab w:val="right" w:leader="dot" w:pos="9062"/>
            </w:tabs>
            <w:rPr>
              <w:rFonts w:eastAsiaTheme="minorEastAsia"/>
              <w:noProof/>
              <w:lang w:eastAsia="nl-BE"/>
            </w:rPr>
          </w:pPr>
          <w:hyperlink w:anchor="_Toc44512054" w:history="1">
            <w:r w:rsidR="0054317B" w:rsidRPr="0098754B">
              <w:rPr>
                <w:rStyle w:val="Hyperlink"/>
                <w:noProof/>
              </w:rPr>
              <w:t>1.3. Provinciale verdeling</w:t>
            </w:r>
            <w:r w:rsidR="0054317B">
              <w:rPr>
                <w:noProof/>
                <w:webHidden/>
              </w:rPr>
              <w:tab/>
            </w:r>
            <w:r w:rsidR="0054317B">
              <w:rPr>
                <w:noProof/>
                <w:webHidden/>
              </w:rPr>
              <w:fldChar w:fldCharType="begin"/>
            </w:r>
            <w:r w:rsidR="0054317B">
              <w:rPr>
                <w:noProof/>
                <w:webHidden/>
              </w:rPr>
              <w:instrText xml:space="preserve"> PAGEREF _Toc44512054 \h </w:instrText>
            </w:r>
            <w:r w:rsidR="0054317B">
              <w:rPr>
                <w:noProof/>
                <w:webHidden/>
              </w:rPr>
            </w:r>
            <w:r w:rsidR="0054317B">
              <w:rPr>
                <w:noProof/>
                <w:webHidden/>
              </w:rPr>
              <w:fldChar w:fldCharType="separate"/>
            </w:r>
            <w:r w:rsidR="0054317B">
              <w:rPr>
                <w:noProof/>
                <w:webHidden/>
              </w:rPr>
              <w:t>4</w:t>
            </w:r>
            <w:r w:rsidR="0054317B">
              <w:rPr>
                <w:noProof/>
                <w:webHidden/>
              </w:rPr>
              <w:fldChar w:fldCharType="end"/>
            </w:r>
          </w:hyperlink>
        </w:p>
        <w:p w14:paraId="766EEDC8" w14:textId="16BD6A6B" w:rsidR="0054317B" w:rsidRDefault="009064DA">
          <w:pPr>
            <w:pStyle w:val="Inhopg2"/>
            <w:tabs>
              <w:tab w:val="right" w:leader="dot" w:pos="9062"/>
            </w:tabs>
            <w:rPr>
              <w:rFonts w:eastAsiaTheme="minorEastAsia"/>
              <w:noProof/>
              <w:lang w:eastAsia="nl-BE"/>
            </w:rPr>
          </w:pPr>
          <w:hyperlink w:anchor="_Toc44512055" w:history="1">
            <w:r w:rsidR="0054317B" w:rsidRPr="0098754B">
              <w:rPr>
                <w:rStyle w:val="Hyperlink"/>
                <w:noProof/>
              </w:rPr>
              <w:t>1.4. Verdeling volgens Rechtsvorm</w:t>
            </w:r>
            <w:r w:rsidR="0054317B">
              <w:rPr>
                <w:noProof/>
                <w:webHidden/>
              </w:rPr>
              <w:tab/>
            </w:r>
            <w:r w:rsidR="0054317B">
              <w:rPr>
                <w:noProof/>
                <w:webHidden/>
              </w:rPr>
              <w:fldChar w:fldCharType="begin"/>
            </w:r>
            <w:r w:rsidR="0054317B">
              <w:rPr>
                <w:noProof/>
                <w:webHidden/>
              </w:rPr>
              <w:instrText xml:space="preserve"> PAGEREF _Toc44512055 \h </w:instrText>
            </w:r>
            <w:r w:rsidR="0054317B">
              <w:rPr>
                <w:noProof/>
                <w:webHidden/>
              </w:rPr>
            </w:r>
            <w:r w:rsidR="0054317B">
              <w:rPr>
                <w:noProof/>
                <w:webHidden/>
              </w:rPr>
              <w:fldChar w:fldCharType="separate"/>
            </w:r>
            <w:r w:rsidR="0054317B">
              <w:rPr>
                <w:noProof/>
                <w:webHidden/>
              </w:rPr>
              <w:t>5</w:t>
            </w:r>
            <w:r w:rsidR="0054317B">
              <w:rPr>
                <w:noProof/>
                <w:webHidden/>
              </w:rPr>
              <w:fldChar w:fldCharType="end"/>
            </w:r>
          </w:hyperlink>
        </w:p>
        <w:p w14:paraId="18A50520" w14:textId="602A5F08" w:rsidR="0054317B" w:rsidRDefault="009064DA">
          <w:pPr>
            <w:pStyle w:val="Inhopg2"/>
            <w:tabs>
              <w:tab w:val="right" w:leader="dot" w:pos="9062"/>
            </w:tabs>
            <w:rPr>
              <w:rFonts w:eastAsiaTheme="minorEastAsia"/>
              <w:noProof/>
              <w:lang w:eastAsia="nl-BE"/>
            </w:rPr>
          </w:pPr>
          <w:hyperlink w:anchor="_Toc44512056" w:history="1">
            <w:r w:rsidR="0054317B" w:rsidRPr="0098754B">
              <w:rPr>
                <w:rStyle w:val="Hyperlink"/>
                <w:noProof/>
              </w:rPr>
              <w:t>1.5. Verdeling volgens Tewerkstellingsklasse</w:t>
            </w:r>
            <w:r w:rsidR="0054317B">
              <w:rPr>
                <w:noProof/>
                <w:webHidden/>
              </w:rPr>
              <w:tab/>
            </w:r>
            <w:r w:rsidR="0054317B">
              <w:rPr>
                <w:noProof/>
                <w:webHidden/>
              </w:rPr>
              <w:fldChar w:fldCharType="begin"/>
            </w:r>
            <w:r w:rsidR="0054317B">
              <w:rPr>
                <w:noProof/>
                <w:webHidden/>
              </w:rPr>
              <w:instrText xml:space="preserve"> PAGEREF _Toc44512056 \h </w:instrText>
            </w:r>
            <w:r w:rsidR="0054317B">
              <w:rPr>
                <w:noProof/>
                <w:webHidden/>
              </w:rPr>
            </w:r>
            <w:r w:rsidR="0054317B">
              <w:rPr>
                <w:noProof/>
                <w:webHidden/>
              </w:rPr>
              <w:fldChar w:fldCharType="separate"/>
            </w:r>
            <w:r w:rsidR="0054317B">
              <w:rPr>
                <w:noProof/>
                <w:webHidden/>
              </w:rPr>
              <w:t>5</w:t>
            </w:r>
            <w:r w:rsidR="0054317B">
              <w:rPr>
                <w:noProof/>
                <w:webHidden/>
              </w:rPr>
              <w:fldChar w:fldCharType="end"/>
            </w:r>
          </w:hyperlink>
        </w:p>
        <w:p w14:paraId="0DC24CA8" w14:textId="1F72F50B" w:rsidR="0054317B" w:rsidRDefault="009064DA">
          <w:pPr>
            <w:pStyle w:val="Inhopg2"/>
            <w:tabs>
              <w:tab w:val="right" w:leader="dot" w:pos="9062"/>
            </w:tabs>
            <w:rPr>
              <w:rFonts w:eastAsiaTheme="minorEastAsia"/>
              <w:noProof/>
              <w:lang w:eastAsia="nl-BE"/>
            </w:rPr>
          </w:pPr>
          <w:hyperlink w:anchor="_Toc44512057" w:history="1">
            <w:r w:rsidR="0054317B" w:rsidRPr="0098754B">
              <w:rPr>
                <w:rStyle w:val="Hyperlink"/>
                <w:noProof/>
              </w:rPr>
              <w:t>1.6. Verdeling volgens Hoofdberoep/Bijberoep</w:t>
            </w:r>
            <w:r w:rsidR="0054317B">
              <w:rPr>
                <w:noProof/>
                <w:webHidden/>
              </w:rPr>
              <w:tab/>
            </w:r>
            <w:r w:rsidR="0054317B">
              <w:rPr>
                <w:noProof/>
                <w:webHidden/>
              </w:rPr>
              <w:fldChar w:fldCharType="begin"/>
            </w:r>
            <w:r w:rsidR="0054317B">
              <w:rPr>
                <w:noProof/>
                <w:webHidden/>
              </w:rPr>
              <w:instrText xml:space="preserve"> PAGEREF _Toc44512057 \h </w:instrText>
            </w:r>
            <w:r w:rsidR="0054317B">
              <w:rPr>
                <w:noProof/>
                <w:webHidden/>
              </w:rPr>
            </w:r>
            <w:r w:rsidR="0054317B">
              <w:rPr>
                <w:noProof/>
                <w:webHidden/>
              </w:rPr>
              <w:fldChar w:fldCharType="separate"/>
            </w:r>
            <w:r w:rsidR="0054317B">
              <w:rPr>
                <w:noProof/>
                <w:webHidden/>
              </w:rPr>
              <w:t>6</w:t>
            </w:r>
            <w:r w:rsidR="0054317B">
              <w:rPr>
                <w:noProof/>
                <w:webHidden/>
              </w:rPr>
              <w:fldChar w:fldCharType="end"/>
            </w:r>
          </w:hyperlink>
        </w:p>
        <w:p w14:paraId="72038D10" w14:textId="7CCD6559" w:rsidR="0054317B" w:rsidRDefault="009064DA">
          <w:pPr>
            <w:pStyle w:val="Inhopg1"/>
            <w:rPr>
              <w:rFonts w:eastAsiaTheme="minorEastAsia"/>
              <w:noProof/>
              <w:lang w:eastAsia="nl-BE"/>
            </w:rPr>
          </w:pPr>
          <w:hyperlink w:anchor="_Toc44512058" w:history="1">
            <w:r w:rsidR="0054317B" w:rsidRPr="0098754B">
              <w:rPr>
                <w:rStyle w:val="Hyperlink"/>
                <w:noProof/>
              </w:rPr>
              <w:t>2. Stand van zaken corona-sluitingspremie</w:t>
            </w:r>
            <w:r w:rsidR="0054317B">
              <w:rPr>
                <w:noProof/>
                <w:webHidden/>
              </w:rPr>
              <w:tab/>
            </w:r>
            <w:r w:rsidR="0054317B">
              <w:rPr>
                <w:noProof/>
                <w:webHidden/>
              </w:rPr>
              <w:fldChar w:fldCharType="begin"/>
            </w:r>
            <w:r w:rsidR="0054317B">
              <w:rPr>
                <w:noProof/>
                <w:webHidden/>
              </w:rPr>
              <w:instrText xml:space="preserve"> PAGEREF _Toc44512058 \h </w:instrText>
            </w:r>
            <w:r w:rsidR="0054317B">
              <w:rPr>
                <w:noProof/>
                <w:webHidden/>
              </w:rPr>
            </w:r>
            <w:r w:rsidR="0054317B">
              <w:rPr>
                <w:noProof/>
                <w:webHidden/>
              </w:rPr>
              <w:fldChar w:fldCharType="separate"/>
            </w:r>
            <w:r w:rsidR="0054317B">
              <w:rPr>
                <w:noProof/>
                <w:webHidden/>
              </w:rPr>
              <w:t>6</w:t>
            </w:r>
            <w:r w:rsidR="0054317B">
              <w:rPr>
                <w:noProof/>
                <w:webHidden/>
              </w:rPr>
              <w:fldChar w:fldCharType="end"/>
            </w:r>
          </w:hyperlink>
        </w:p>
        <w:p w14:paraId="0D479C52" w14:textId="7AAEEBF0" w:rsidR="0054317B" w:rsidRDefault="009064DA">
          <w:pPr>
            <w:pStyle w:val="Inhopg2"/>
            <w:tabs>
              <w:tab w:val="right" w:leader="dot" w:pos="9062"/>
            </w:tabs>
            <w:rPr>
              <w:rFonts w:eastAsiaTheme="minorEastAsia"/>
              <w:noProof/>
              <w:lang w:eastAsia="nl-BE"/>
            </w:rPr>
          </w:pPr>
          <w:hyperlink w:anchor="_Toc44512059" w:history="1">
            <w:r w:rsidR="0054317B" w:rsidRPr="0098754B">
              <w:rPr>
                <w:rStyle w:val="Hyperlink"/>
                <w:noProof/>
              </w:rPr>
              <w:t>2.1. Globaal aantal toegekende Sluitingspremie</w:t>
            </w:r>
            <w:r w:rsidR="0054317B">
              <w:rPr>
                <w:noProof/>
                <w:webHidden/>
              </w:rPr>
              <w:tab/>
            </w:r>
            <w:r w:rsidR="0054317B">
              <w:rPr>
                <w:noProof/>
                <w:webHidden/>
              </w:rPr>
              <w:fldChar w:fldCharType="begin"/>
            </w:r>
            <w:r w:rsidR="0054317B">
              <w:rPr>
                <w:noProof/>
                <w:webHidden/>
              </w:rPr>
              <w:instrText xml:space="preserve"> PAGEREF _Toc44512059 \h </w:instrText>
            </w:r>
            <w:r w:rsidR="0054317B">
              <w:rPr>
                <w:noProof/>
                <w:webHidden/>
              </w:rPr>
            </w:r>
            <w:r w:rsidR="0054317B">
              <w:rPr>
                <w:noProof/>
                <w:webHidden/>
              </w:rPr>
              <w:fldChar w:fldCharType="separate"/>
            </w:r>
            <w:r w:rsidR="0054317B">
              <w:rPr>
                <w:noProof/>
                <w:webHidden/>
              </w:rPr>
              <w:t>6</w:t>
            </w:r>
            <w:r w:rsidR="0054317B">
              <w:rPr>
                <w:noProof/>
                <w:webHidden/>
              </w:rPr>
              <w:fldChar w:fldCharType="end"/>
            </w:r>
          </w:hyperlink>
        </w:p>
        <w:p w14:paraId="0F44B2DC" w14:textId="29F54EAB" w:rsidR="0054317B" w:rsidRDefault="009064DA">
          <w:pPr>
            <w:pStyle w:val="Inhopg1"/>
            <w:rPr>
              <w:rFonts w:eastAsiaTheme="minorEastAsia"/>
              <w:noProof/>
              <w:lang w:eastAsia="nl-BE"/>
            </w:rPr>
          </w:pPr>
          <w:hyperlink w:anchor="_Toc44512060" w:history="1">
            <w:r w:rsidR="0054317B" w:rsidRPr="0098754B">
              <w:rPr>
                <w:rStyle w:val="Hyperlink"/>
                <w:noProof/>
              </w:rPr>
              <w:t>3. Stand van zaken corona-Compensatiepremie</w:t>
            </w:r>
            <w:r w:rsidR="0054317B">
              <w:rPr>
                <w:noProof/>
                <w:webHidden/>
              </w:rPr>
              <w:tab/>
            </w:r>
            <w:r w:rsidR="0054317B">
              <w:rPr>
                <w:noProof/>
                <w:webHidden/>
              </w:rPr>
              <w:fldChar w:fldCharType="begin"/>
            </w:r>
            <w:r w:rsidR="0054317B">
              <w:rPr>
                <w:noProof/>
                <w:webHidden/>
              </w:rPr>
              <w:instrText xml:space="preserve"> PAGEREF _Toc44512060 \h </w:instrText>
            </w:r>
            <w:r w:rsidR="0054317B">
              <w:rPr>
                <w:noProof/>
                <w:webHidden/>
              </w:rPr>
            </w:r>
            <w:r w:rsidR="0054317B">
              <w:rPr>
                <w:noProof/>
                <w:webHidden/>
              </w:rPr>
              <w:fldChar w:fldCharType="separate"/>
            </w:r>
            <w:r w:rsidR="0054317B">
              <w:rPr>
                <w:noProof/>
                <w:webHidden/>
              </w:rPr>
              <w:t>7</w:t>
            </w:r>
            <w:r w:rsidR="0054317B">
              <w:rPr>
                <w:noProof/>
                <w:webHidden/>
              </w:rPr>
              <w:fldChar w:fldCharType="end"/>
            </w:r>
          </w:hyperlink>
        </w:p>
        <w:p w14:paraId="598E56D2" w14:textId="1584C3CA" w:rsidR="0054317B" w:rsidRDefault="009064DA">
          <w:pPr>
            <w:pStyle w:val="Inhopg2"/>
            <w:tabs>
              <w:tab w:val="right" w:leader="dot" w:pos="9062"/>
            </w:tabs>
            <w:rPr>
              <w:rFonts w:eastAsiaTheme="minorEastAsia"/>
              <w:noProof/>
              <w:lang w:eastAsia="nl-BE"/>
            </w:rPr>
          </w:pPr>
          <w:hyperlink w:anchor="_Toc44512061" w:history="1">
            <w:r w:rsidR="0054317B" w:rsidRPr="0098754B">
              <w:rPr>
                <w:rStyle w:val="Hyperlink"/>
                <w:noProof/>
              </w:rPr>
              <w:t>3.1. Globaal aantal toegekende corona-compensatiepremies</w:t>
            </w:r>
            <w:r w:rsidR="0054317B">
              <w:rPr>
                <w:noProof/>
                <w:webHidden/>
              </w:rPr>
              <w:tab/>
            </w:r>
            <w:r w:rsidR="0054317B">
              <w:rPr>
                <w:noProof/>
                <w:webHidden/>
              </w:rPr>
              <w:fldChar w:fldCharType="begin"/>
            </w:r>
            <w:r w:rsidR="0054317B">
              <w:rPr>
                <w:noProof/>
                <w:webHidden/>
              </w:rPr>
              <w:instrText xml:space="preserve"> PAGEREF _Toc44512061 \h </w:instrText>
            </w:r>
            <w:r w:rsidR="0054317B">
              <w:rPr>
                <w:noProof/>
                <w:webHidden/>
              </w:rPr>
            </w:r>
            <w:r w:rsidR="0054317B">
              <w:rPr>
                <w:noProof/>
                <w:webHidden/>
              </w:rPr>
              <w:fldChar w:fldCharType="separate"/>
            </w:r>
            <w:r w:rsidR="0054317B">
              <w:rPr>
                <w:noProof/>
                <w:webHidden/>
              </w:rPr>
              <w:t>7</w:t>
            </w:r>
            <w:r w:rsidR="0054317B">
              <w:rPr>
                <w:noProof/>
                <w:webHidden/>
              </w:rPr>
              <w:fldChar w:fldCharType="end"/>
            </w:r>
          </w:hyperlink>
        </w:p>
        <w:p w14:paraId="44A59945" w14:textId="6B4BA974" w:rsidR="0054317B" w:rsidRDefault="009064DA">
          <w:pPr>
            <w:pStyle w:val="Inhopg2"/>
            <w:tabs>
              <w:tab w:val="right" w:leader="dot" w:pos="9062"/>
            </w:tabs>
            <w:rPr>
              <w:rFonts w:eastAsiaTheme="minorEastAsia"/>
              <w:noProof/>
              <w:lang w:eastAsia="nl-BE"/>
            </w:rPr>
          </w:pPr>
          <w:hyperlink w:anchor="_Toc44512062" w:history="1">
            <w:r w:rsidR="0054317B" w:rsidRPr="0098754B">
              <w:rPr>
                <w:rStyle w:val="Hyperlink"/>
                <w:noProof/>
              </w:rPr>
              <w:t>3.2. Sectorale verdeling</w:t>
            </w:r>
            <w:r w:rsidR="0054317B">
              <w:rPr>
                <w:noProof/>
                <w:webHidden/>
              </w:rPr>
              <w:tab/>
            </w:r>
            <w:r w:rsidR="0054317B">
              <w:rPr>
                <w:noProof/>
                <w:webHidden/>
              </w:rPr>
              <w:fldChar w:fldCharType="begin"/>
            </w:r>
            <w:r w:rsidR="0054317B">
              <w:rPr>
                <w:noProof/>
                <w:webHidden/>
              </w:rPr>
              <w:instrText xml:space="preserve"> PAGEREF _Toc44512062 \h </w:instrText>
            </w:r>
            <w:r w:rsidR="0054317B">
              <w:rPr>
                <w:noProof/>
                <w:webHidden/>
              </w:rPr>
            </w:r>
            <w:r w:rsidR="0054317B">
              <w:rPr>
                <w:noProof/>
                <w:webHidden/>
              </w:rPr>
              <w:fldChar w:fldCharType="separate"/>
            </w:r>
            <w:r w:rsidR="0054317B">
              <w:rPr>
                <w:noProof/>
                <w:webHidden/>
              </w:rPr>
              <w:t>8</w:t>
            </w:r>
            <w:r w:rsidR="0054317B">
              <w:rPr>
                <w:noProof/>
                <w:webHidden/>
              </w:rPr>
              <w:fldChar w:fldCharType="end"/>
            </w:r>
          </w:hyperlink>
        </w:p>
        <w:p w14:paraId="1FF5C3E2" w14:textId="4EBBD029" w:rsidR="0054317B" w:rsidRDefault="009064DA">
          <w:pPr>
            <w:pStyle w:val="Inhopg2"/>
            <w:tabs>
              <w:tab w:val="right" w:leader="dot" w:pos="9062"/>
            </w:tabs>
            <w:rPr>
              <w:rFonts w:eastAsiaTheme="minorEastAsia"/>
              <w:noProof/>
              <w:lang w:eastAsia="nl-BE"/>
            </w:rPr>
          </w:pPr>
          <w:hyperlink w:anchor="_Toc44512063" w:history="1">
            <w:r w:rsidR="0054317B" w:rsidRPr="0098754B">
              <w:rPr>
                <w:rStyle w:val="Hyperlink"/>
                <w:noProof/>
              </w:rPr>
              <w:t>Top 20</w:t>
            </w:r>
            <w:r w:rsidR="0054317B">
              <w:rPr>
                <w:noProof/>
                <w:webHidden/>
              </w:rPr>
              <w:tab/>
            </w:r>
            <w:r w:rsidR="0054317B">
              <w:rPr>
                <w:noProof/>
                <w:webHidden/>
              </w:rPr>
              <w:fldChar w:fldCharType="begin"/>
            </w:r>
            <w:r w:rsidR="0054317B">
              <w:rPr>
                <w:noProof/>
                <w:webHidden/>
              </w:rPr>
              <w:instrText xml:space="preserve"> PAGEREF _Toc44512063 \h </w:instrText>
            </w:r>
            <w:r w:rsidR="0054317B">
              <w:rPr>
                <w:noProof/>
                <w:webHidden/>
              </w:rPr>
            </w:r>
            <w:r w:rsidR="0054317B">
              <w:rPr>
                <w:noProof/>
                <w:webHidden/>
              </w:rPr>
              <w:fldChar w:fldCharType="separate"/>
            </w:r>
            <w:r w:rsidR="0054317B">
              <w:rPr>
                <w:noProof/>
                <w:webHidden/>
              </w:rPr>
              <w:t>9</w:t>
            </w:r>
            <w:r w:rsidR="0054317B">
              <w:rPr>
                <w:noProof/>
                <w:webHidden/>
              </w:rPr>
              <w:fldChar w:fldCharType="end"/>
            </w:r>
          </w:hyperlink>
        </w:p>
        <w:p w14:paraId="32688A72" w14:textId="0BE90411" w:rsidR="0054317B" w:rsidRDefault="009064DA">
          <w:pPr>
            <w:pStyle w:val="Inhopg2"/>
            <w:tabs>
              <w:tab w:val="right" w:leader="dot" w:pos="9062"/>
            </w:tabs>
            <w:rPr>
              <w:rFonts w:eastAsiaTheme="minorEastAsia"/>
              <w:noProof/>
              <w:lang w:eastAsia="nl-BE"/>
            </w:rPr>
          </w:pPr>
          <w:hyperlink w:anchor="_Toc44512064" w:history="1">
            <w:r w:rsidR="0054317B" w:rsidRPr="0098754B">
              <w:rPr>
                <w:rStyle w:val="Hyperlink"/>
                <w:noProof/>
              </w:rPr>
              <w:t>3.3. Provinciale verdeling</w:t>
            </w:r>
            <w:r w:rsidR="0054317B">
              <w:rPr>
                <w:noProof/>
                <w:webHidden/>
              </w:rPr>
              <w:tab/>
            </w:r>
            <w:r w:rsidR="0054317B">
              <w:rPr>
                <w:noProof/>
                <w:webHidden/>
              </w:rPr>
              <w:fldChar w:fldCharType="begin"/>
            </w:r>
            <w:r w:rsidR="0054317B">
              <w:rPr>
                <w:noProof/>
                <w:webHidden/>
              </w:rPr>
              <w:instrText xml:space="preserve"> PAGEREF _Toc44512064 \h </w:instrText>
            </w:r>
            <w:r w:rsidR="0054317B">
              <w:rPr>
                <w:noProof/>
                <w:webHidden/>
              </w:rPr>
            </w:r>
            <w:r w:rsidR="0054317B">
              <w:rPr>
                <w:noProof/>
                <w:webHidden/>
              </w:rPr>
              <w:fldChar w:fldCharType="separate"/>
            </w:r>
            <w:r w:rsidR="0054317B">
              <w:rPr>
                <w:noProof/>
                <w:webHidden/>
              </w:rPr>
              <w:t>9</w:t>
            </w:r>
            <w:r w:rsidR="0054317B">
              <w:rPr>
                <w:noProof/>
                <w:webHidden/>
              </w:rPr>
              <w:fldChar w:fldCharType="end"/>
            </w:r>
          </w:hyperlink>
        </w:p>
        <w:p w14:paraId="6F940CFB" w14:textId="0D0736C3" w:rsidR="0054317B" w:rsidRDefault="009064DA">
          <w:pPr>
            <w:pStyle w:val="Inhopg2"/>
            <w:tabs>
              <w:tab w:val="right" w:leader="dot" w:pos="9062"/>
            </w:tabs>
            <w:rPr>
              <w:rFonts w:eastAsiaTheme="minorEastAsia"/>
              <w:noProof/>
              <w:lang w:eastAsia="nl-BE"/>
            </w:rPr>
          </w:pPr>
          <w:hyperlink w:anchor="_Toc44512065" w:history="1">
            <w:r w:rsidR="0054317B" w:rsidRPr="0098754B">
              <w:rPr>
                <w:rStyle w:val="Hyperlink"/>
                <w:noProof/>
              </w:rPr>
              <w:t>3.4. Verdeling volgens Rechtsvorm</w:t>
            </w:r>
            <w:r w:rsidR="0054317B">
              <w:rPr>
                <w:noProof/>
                <w:webHidden/>
              </w:rPr>
              <w:tab/>
            </w:r>
            <w:r w:rsidR="0054317B">
              <w:rPr>
                <w:noProof/>
                <w:webHidden/>
              </w:rPr>
              <w:fldChar w:fldCharType="begin"/>
            </w:r>
            <w:r w:rsidR="0054317B">
              <w:rPr>
                <w:noProof/>
                <w:webHidden/>
              </w:rPr>
              <w:instrText xml:space="preserve"> PAGEREF _Toc44512065 \h </w:instrText>
            </w:r>
            <w:r w:rsidR="0054317B">
              <w:rPr>
                <w:noProof/>
                <w:webHidden/>
              </w:rPr>
            </w:r>
            <w:r w:rsidR="0054317B">
              <w:rPr>
                <w:noProof/>
                <w:webHidden/>
              </w:rPr>
              <w:fldChar w:fldCharType="separate"/>
            </w:r>
            <w:r w:rsidR="0054317B">
              <w:rPr>
                <w:noProof/>
                <w:webHidden/>
              </w:rPr>
              <w:t>9</w:t>
            </w:r>
            <w:r w:rsidR="0054317B">
              <w:rPr>
                <w:noProof/>
                <w:webHidden/>
              </w:rPr>
              <w:fldChar w:fldCharType="end"/>
            </w:r>
          </w:hyperlink>
        </w:p>
        <w:p w14:paraId="1DC2E3A9" w14:textId="43C0338A" w:rsidR="0054317B" w:rsidRDefault="009064DA">
          <w:pPr>
            <w:pStyle w:val="Inhopg2"/>
            <w:tabs>
              <w:tab w:val="right" w:leader="dot" w:pos="9062"/>
            </w:tabs>
            <w:rPr>
              <w:rFonts w:eastAsiaTheme="minorEastAsia"/>
              <w:noProof/>
              <w:lang w:eastAsia="nl-BE"/>
            </w:rPr>
          </w:pPr>
          <w:hyperlink w:anchor="_Toc44512066" w:history="1">
            <w:r w:rsidR="0054317B" w:rsidRPr="0098754B">
              <w:rPr>
                <w:rStyle w:val="Hyperlink"/>
                <w:noProof/>
              </w:rPr>
              <w:t>3.5. Verdeling volgens Tewerkstellingsklasse</w:t>
            </w:r>
            <w:r w:rsidR="0054317B">
              <w:rPr>
                <w:noProof/>
                <w:webHidden/>
              </w:rPr>
              <w:tab/>
            </w:r>
            <w:r w:rsidR="0054317B">
              <w:rPr>
                <w:noProof/>
                <w:webHidden/>
              </w:rPr>
              <w:fldChar w:fldCharType="begin"/>
            </w:r>
            <w:r w:rsidR="0054317B">
              <w:rPr>
                <w:noProof/>
                <w:webHidden/>
              </w:rPr>
              <w:instrText xml:space="preserve"> PAGEREF _Toc44512066 \h </w:instrText>
            </w:r>
            <w:r w:rsidR="0054317B">
              <w:rPr>
                <w:noProof/>
                <w:webHidden/>
              </w:rPr>
            </w:r>
            <w:r w:rsidR="0054317B">
              <w:rPr>
                <w:noProof/>
                <w:webHidden/>
              </w:rPr>
              <w:fldChar w:fldCharType="separate"/>
            </w:r>
            <w:r w:rsidR="0054317B">
              <w:rPr>
                <w:noProof/>
                <w:webHidden/>
              </w:rPr>
              <w:t>10</w:t>
            </w:r>
            <w:r w:rsidR="0054317B">
              <w:rPr>
                <w:noProof/>
                <w:webHidden/>
              </w:rPr>
              <w:fldChar w:fldCharType="end"/>
            </w:r>
          </w:hyperlink>
        </w:p>
        <w:p w14:paraId="58A48237" w14:textId="3C8F4D0C" w:rsidR="0054317B" w:rsidRDefault="009064DA">
          <w:pPr>
            <w:pStyle w:val="Inhopg2"/>
            <w:tabs>
              <w:tab w:val="right" w:leader="dot" w:pos="9062"/>
            </w:tabs>
            <w:rPr>
              <w:rFonts w:eastAsiaTheme="minorEastAsia"/>
              <w:noProof/>
              <w:lang w:eastAsia="nl-BE"/>
            </w:rPr>
          </w:pPr>
          <w:hyperlink w:anchor="_Toc44512067" w:history="1">
            <w:r w:rsidR="0054317B" w:rsidRPr="0098754B">
              <w:rPr>
                <w:rStyle w:val="Hyperlink"/>
                <w:noProof/>
              </w:rPr>
              <w:t>3.6. Verdeling volgens Hoofdberoep/Bijberoep</w:t>
            </w:r>
            <w:r w:rsidR="0054317B">
              <w:rPr>
                <w:noProof/>
                <w:webHidden/>
              </w:rPr>
              <w:tab/>
            </w:r>
            <w:r w:rsidR="0054317B">
              <w:rPr>
                <w:noProof/>
                <w:webHidden/>
              </w:rPr>
              <w:fldChar w:fldCharType="begin"/>
            </w:r>
            <w:r w:rsidR="0054317B">
              <w:rPr>
                <w:noProof/>
                <w:webHidden/>
              </w:rPr>
              <w:instrText xml:space="preserve"> PAGEREF _Toc44512067 \h </w:instrText>
            </w:r>
            <w:r w:rsidR="0054317B">
              <w:rPr>
                <w:noProof/>
                <w:webHidden/>
              </w:rPr>
            </w:r>
            <w:r w:rsidR="0054317B">
              <w:rPr>
                <w:noProof/>
                <w:webHidden/>
              </w:rPr>
              <w:fldChar w:fldCharType="separate"/>
            </w:r>
            <w:r w:rsidR="0054317B">
              <w:rPr>
                <w:noProof/>
                <w:webHidden/>
              </w:rPr>
              <w:t>10</w:t>
            </w:r>
            <w:r w:rsidR="0054317B">
              <w:rPr>
                <w:noProof/>
                <w:webHidden/>
              </w:rPr>
              <w:fldChar w:fldCharType="end"/>
            </w:r>
          </w:hyperlink>
        </w:p>
        <w:p w14:paraId="3A245E2F" w14:textId="623D2D8D" w:rsidR="0054317B" w:rsidRDefault="009064DA">
          <w:pPr>
            <w:pStyle w:val="Inhopg1"/>
            <w:rPr>
              <w:rFonts w:eastAsiaTheme="minorEastAsia"/>
              <w:noProof/>
              <w:lang w:eastAsia="nl-BE"/>
            </w:rPr>
          </w:pPr>
          <w:hyperlink w:anchor="_Toc44512068" w:history="1">
            <w:r w:rsidR="0054317B" w:rsidRPr="0098754B">
              <w:rPr>
                <w:rStyle w:val="Hyperlink"/>
                <w:noProof/>
              </w:rPr>
              <w:t>4. Inspectiedossiers</w:t>
            </w:r>
            <w:r w:rsidR="0054317B">
              <w:rPr>
                <w:noProof/>
                <w:webHidden/>
              </w:rPr>
              <w:tab/>
            </w:r>
            <w:r w:rsidR="0054317B">
              <w:rPr>
                <w:noProof/>
                <w:webHidden/>
              </w:rPr>
              <w:fldChar w:fldCharType="begin"/>
            </w:r>
            <w:r w:rsidR="0054317B">
              <w:rPr>
                <w:noProof/>
                <w:webHidden/>
              </w:rPr>
              <w:instrText xml:space="preserve"> PAGEREF _Toc44512068 \h </w:instrText>
            </w:r>
            <w:r w:rsidR="0054317B">
              <w:rPr>
                <w:noProof/>
                <w:webHidden/>
              </w:rPr>
            </w:r>
            <w:r w:rsidR="0054317B">
              <w:rPr>
                <w:noProof/>
                <w:webHidden/>
              </w:rPr>
              <w:fldChar w:fldCharType="separate"/>
            </w:r>
            <w:r w:rsidR="0054317B">
              <w:rPr>
                <w:noProof/>
                <w:webHidden/>
              </w:rPr>
              <w:t>11</w:t>
            </w:r>
            <w:r w:rsidR="0054317B">
              <w:rPr>
                <w:noProof/>
                <w:webHidden/>
              </w:rPr>
              <w:fldChar w:fldCharType="end"/>
            </w:r>
          </w:hyperlink>
        </w:p>
        <w:p w14:paraId="78D938ED" w14:textId="72EAF1AE" w:rsidR="00746EE6" w:rsidRPr="00746EE6" w:rsidRDefault="00CE2AE5" w:rsidP="00746EE6">
          <w:r>
            <w:rPr>
              <w:b/>
              <w:bCs/>
              <w:lang w:val="nl-NL"/>
            </w:rPr>
            <w:fldChar w:fldCharType="end"/>
          </w:r>
        </w:p>
      </w:sdtContent>
    </w:sdt>
    <w:p w14:paraId="542A7AD2" w14:textId="77777777" w:rsidR="00E77315" w:rsidRDefault="00E77315">
      <w:pPr>
        <w:rPr>
          <w:rFonts w:asciiTheme="majorHAnsi" w:eastAsiaTheme="majorEastAsia" w:hAnsiTheme="majorHAnsi" w:cstheme="majorBidi"/>
          <w:color w:val="2F5496" w:themeColor="accent1" w:themeShade="BF"/>
          <w:sz w:val="32"/>
          <w:szCs w:val="32"/>
        </w:rPr>
      </w:pPr>
      <w:r>
        <w:br w:type="page"/>
      </w:r>
    </w:p>
    <w:p w14:paraId="244991AE" w14:textId="2D31377D" w:rsidR="00C83159" w:rsidRPr="00746EE6" w:rsidRDefault="00C83159" w:rsidP="00B34E4C">
      <w:pPr>
        <w:pStyle w:val="Kop1"/>
      </w:pPr>
      <w:bookmarkStart w:id="1" w:name="_Toc44512049"/>
      <w:r w:rsidRPr="00746EE6">
        <w:lastRenderedPageBreak/>
        <w:t>Inleiding</w:t>
      </w:r>
      <w:bookmarkEnd w:id="1"/>
    </w:p>
    <w:p w14:paraId="35667EB4" w14:textId="1054C927" w:rsidR="00C83159" w:rsidRDefault="00C83159">
      <w:r w:rsidRPr="00746EE6">
        <w:t xml:space="preserve">Om bedrijven die verplicht werden te sluiten financieel te ondersteunen, werd de corona hinderpremie in het leven geroepen. De corona hinderpremie bedraagt 4000 euro voor bedrijven met een fysieke inrichting die verplicht volledig moeten sluiten. </w:t>
      </w:r>
      <w:r w:rsidRPr="00144F80">
        <w:t xml:space="preserve">Vanaf </w:t>
      </w:r>
      <w:r w:rsidR="00CC0296" w:rsidRPr="00144F80">
        <w:t>14 mei</w:t>
      </w:r>
      <w:r w:rsidRPr="00144F80">
        <w:t xml:space="preserve"> 2020 tot het einde van de coronamaatregelen</w:t>
      </w:r>
      <w:r w:rsidRPr="00910570">
        <w:t xml:space="preserve"> geldt</w:t>
      </w:r>
      <w:r w:rsidRPr="00746EE6">
        <w:t xml:space="preserve"> dat alle ondernemingen en zelfstandigen die tot en met 5 april de corona hinderpremie hebben gekregen, automatisch 160 euro krijgen per verplichte sluitingsdag die samenvalt met een normale openingsdag, zoals die van toepassing was vóór 14 maart 2020.</w:t>
      </w:r>
    </w:p>
    <w:p w14:paraId="1FB592E5" w14:textId="7B013D45" w:rsidR="00CC0296" w:rsidRPr="00746EE6" w:rsidRDefault="00CC0296">
      <w:r>
        <w:t xml:space="preserve">Om ook de ondernemingen financieel te steunen die een groot omzetverlies kennen naar aanleiding van de coronacrisis, werd een compensatie premie </w:t>
      </w:r>
      <w:r w:rsidR="00696A04">
        <w:t>ingericht</w:t>
      </w:r>
      <w:r>
        <w:t>. De compensatiepremie bedraagt 3000 euro</w:t>
      </w:r>
      <w:r w:rsidR="00696A04">
        <w:t>,</w:t>
      </w:r>
      <w:r>
        <w:t xml:space="preserve"> voor zelfstandigen in bijberoep met een beperkter inkomen bedraag</w:t>
      </w:r>
      <w:r w:rsidR="00696A04">
        <w:t>t</w:t>
      </w:r>
      <w:r>
        <w:t xml:space="preserve"> de compensatiepremie 1500 euro.</w:t>
      </w:r>
    </w:p>
    <w:p w14:paraId="18839072" w14:textId="3B7224A0" w:rsidR="00910570" w:rsidRPr="00746EE6" w:rsidRDefault="00910570" w:rsidP="00144F80">
      <w:pPr>
        <w:shd w:val="clear" w:color="auto" w:fill="FFFFFF" w:themeFill="background1"/>
      </w:pPr>
      <w:r w:rsidRPr="00910570">
        <w:t xml:space="preserve">Deze nota bevat een overzicht van de tot 1 juli toegekende hinderpremies, het aantal goedgekeurde dossiers en de steunvolumes die daartegenover staan en een overzicht van het aantal dagvergoedingen tot 1 juli. Verder bevat deze nota een overzicht van de tot 1 juli toegekende compensatiepremies, het aantal goedgekeurde dossiers en de steunvolumes die daartegenover staan. </w:t>
      </w:r>
      <w:r w:rsidR="00557C86">
        <w:t>Ten slotte volgt een</w:t>
      </w:r>
      <w:r w:rsidRPr="00910570">
        <w:t xml:space="preserve"> kort overzicht van de inspectiedossiers</w:t>
      </w:r>
      <w:r w:rsidR="00557C86">
        <w:t>, en de terugvorderingen en terugbetalingen</w:t>
      </w:r>
      <w:r w:rsidRPr="00910570">
        <w:t>.</w:t>
      </w:r>
    </w:p>
    <w:p w14:paraId="6A710BD8" w14:textId="77777777" w:rsidR="005A6A6A" w:rsidRPr="00746EE6" w:rsidRDefault="00AC6EEB" w:rsidP="00B34E4C">
      <w:pPr>
        <w:pStyle w:val="Kop1"/>
      </w:pPr>
      <w:bookmarkStart w:id="2" w:name="_Toc44512050"/>
      <w:r w:rsidRPr="00746EE6">
        <w:t xml:space="preserve">1. </w:t>
      </w:r>
      <w:r w:rsidR="00C83159" w:rsidRPr="00746EE6">
        <w:t>Stand van zaken corona-hinderpremie</w:t>
      </w:r>
      <w:bookmarkEnd w:id="2"/>
    </w:p>
    <w:p w14:paraId="3E7E5C20" w14:textId="63619172" w:rsidR="00E8379D" w:rsidRPr="00746EE6" w:rsidRDefault="00C83159" w:rsidP="00B34E4C">
      <w:pPr>
        <w:pStyle w:val="Kop2"/>
      </w:pPr>
      <w:bookmarkStart w:id="3" w:name="_Toc44512051"/>
      <w:r w:rsidRPr="00746EE6">
        <w:t xml:space="preserve">1.1. </w:t>
      </w:r>
      <w:r w:rsidR="007C7217" w:rsidRPr="00746EE6">
        <w:t>Globaal a</w:t>
      </w:r>
      <w:r w:rsidRPr="00746EE6">
        <w:t>antal toegekende corona-hinderpremies</w:t>
      </w:r>
      <w:bookmarkEnd w:id="3"/>
    </w:p>
    <w:p w14:paraId="1377349C" w14:textId="29BD2FF7" w:rsidR="002C554E" w:rsidRPr="00746EE6" w:rsidRDefault="008A03E0">
      <w:r w:rsidRPr="00144F80">
        <w:t>Tot</w:t>
      </w:r>
      <w:r w:rsidR="00D67AC5" w:rsidRPr="00144F80">
        <w:t xml:space="preserve"> </w:t>
      </w:r>
      <w:r w:rsidR="00852574" w:rsidRPr="00144F80">
        <w:t>1 juli</w:t>
      </w:r>
      <w:r w:rsidRPr="00746EE6">
        <w:t xml:space="preserve"> werden in totaal </w:t>
      </w:r>
      <w:r w:rsidR="00696A04" w:rsidRPr="00144F80">
        <w:t>1</w:t>
      </w:r>
      <w:r w:rsidR="00D67AC5" w:rsidRPr="00144F80">
        <w:t>3</w:t>
      </w:r>
      <w:r w:rsidR="00FD1433" w:rsidRPr="00144F80">
        <w:t>2 316</w:t>
      </w:r>
      <w:r w:rsidR="00820041">
        <w:t xml:space="preserve"> </w:t>
      </w:r>
      <w:r w:rsidRPr="00746EE6">
        <w:t xml:space="preserve">premies aangevraagd.  Hiervan werden </w:t>
      </w:r>
      <w:r w:rsidR="00696A04" w:rsidRPr="00144F80">
        <w:t>10</w:t>
      </w:r>
      <w:r w:rsidR="00FD1433" w:rsidRPr="00144F80">
        <w:t>3 869</w:t>
      </w:r>
      <w:r w:rsidRPr="00746EE6">
        <w:t xml:space="preserve"> corona-hinderpremies goedgekeurd voor een totaal bedrag van </w:t>
      </w:r>
      <w:r w:rsidR="00D67AC5" w:rsidRPr="00144F80">
        <w:t xml:space="preserve">438 </w:t>
      </w:r>
      <w:r w:rsidR="00FD1433" w:rsidRPr="00144F80">
        <w:t xml:space="preserve">324 </w:t>
      </w:r>
      <w:r w:rsidR="00D67AC5" w:rsidRPr="00144F80">
        <w:t>000</w:t>
      </w:r>
      <w:r w:rsidRPr="00746EE6">
        <w:t xml:space="preserve"> euro.  Daarnaast zijn er nog </w:t>
      </w:r>
      <w:r w:rsidR="00FD1433" w:rsidRPr="00144F80">
        <w:t>52</w:t>
      </w:r>
      <w:r w:rsidRPr="00746EE6">
        <w:t xml:space="preserve"> premies  </w:t>
      </w:r>
      <w:r w:rsidR="00666A25" w:rsidRPr="00746EE6">
        <w:t xml:space="preserve">voor een totaal bedrag van </w:t>
      </w:r>
      <w:r w:rsidR="00FD1433">
        <w:t xml:space="preserve">212 00 </w:t>
      </w:r>
      <w:r w:rsidR="00666A25" w:rsidRPr="00746EE6">
        <w:t xml:space="preserve">euro </w:t>
      </w:r>
      <w:r w:rsidRPr="00746EE6">
        <w:t xml:space="preserve">waarvoor </w:t>
      </w:r>
      <w:r w:rsidR="007C7217" w:rsidRPr="00746EE6">
        <w:t>een dossier</w:t>
      </w:r>
      <w:r w:rsidRPr="00746EE6">
        <w:t xml:space="preserve"> aangevraagd werd.</w:t>
      </w:r>
      <w:r w:rsidR="007C7217" w:rsidRPr="00746EE6">
        <w:t xml:space="preserve"> Deze aanvragen moeten nog beoordeeld worden door het Agentschap Innoveren &amp; Ondernemen.</w:t>
      </w:r>
      <w:r w:rsidR="00FD1433">
        <w:t xml:space="preserve"> </w:t>
      </w:r>
      <w:r w:rsidR="00FD1433" w:rsidRPr="00910570">
        <w:t>Ook staan er nog 18 dossiers in behandeling.</w:t>
      </w:r>
    </w:p>
    <w:p w14:paraId="6E859A0F" w14:textId="155A5A9D" w:rsidR="008A03E0" w:rsidRPr="00746EE6" w:rsidRDefault="007C7217">
      <w:r w:rsidRPr="00746EE6">
        <w:t xml:space="preserve"> </w:t>
      </w:r>
      <w:r w:rsidR="008A03E0" w:rsidRPr="00746EE6">
        <w:t xml:space="preserve"> </w:t>
      </w:r>
      <w:r w:rsidR="00FD1433">
        <w:rPr>
          <w:noProof/>
        </w:rPr>
        <w:drawing>
          <wp:inline distT="0" distB="0" distL="0" distR="0" wp14:anchorId="1A6B4240" wp14:editId="1FD95BCE">
            <wp:extent cx="2918129" cy="16855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9702" cy="1697981"/>
                    </a:xfrm>
                    <a:prstGeom prst="rect">
                      <a:avLst/>
                    </a:prstGeom>
                  </pic:spPr>
                </pic:pic>
              </a:graphicData>
            </a:graphic>
          </wp:inline>
        </w:drawing>
      </w:r>
      <w:r w:rsidR="00746EE6" w:rsidRPr="00746EE6">
        <w:rPr>
          <w:noProof/>
        </w:rPr>
        <w:t xml:space="preserve"> </w:t>
      </w:r>
      <w:r w:rsidR="00FD1433">
        <w:rPr>
          <w:noProof/>
        </w:rPr>
        <w:drawing>
          <wp:inline distT="0" distB="0" distL="0" distR="0" wp14:anchorId="6563D8EA" wp14:editId="7C8752C7">
            <wp:extent cx="2671639" cy="1613952"/>
            <wp:effectExtent l="0" t="0" r="0"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5801" cy="1622507"/>
                    </a:xfrm>
                    <a:prstGeom prst="rect">
                      <a:avLst/>
                    </a:prstGeom>
                  </pic:spPr>
                </pic:pic>
              </a:graphicData>
            </a:graphic>
          </wp:inline>
        </w:drawing>
      </w:r>
    </w:p>
    <w:p w14:paraId="67B46064" w14:textId="41115E6C" w:rsidR="002C554E" w:rsidRDefault="002C554E">
      <w:r w:rsidRPr="00746EE6">
        <w:t xml:space="preserve">De eerste </w:t>
      </w:r>
      <w:r w:rsidR="00B83090">
        <w:t>7 dagen</w:t>
      </w:r>
      <w:r w:rsidR="00B83090" w:rsidRPr="00746EE6">
        <w:t xml:space="preserve"> </w:t>
      </w:r>
      <w:r w:rsidRPr="00746EE6">
        <w:t xml:space="preserve">werden reeds </w:t>
      </w:r>
      <w:r w:rsidRPr="00144F80">
        <w:t>6</w:t>
      </w:r>
      <w:r w:rsidR="00B83090" w:rsidRPr="00144F80">
        <w:t>4</w:t>
      </w:r>
      <w:r w:rsidR="00682FDD" w:rsidRPr="00746EE6">
        <w:t xml:space="preserve"> procent</w:t>
      </w:r>
      <w:r w:rsidRPr="00746EE6">
        <w:t xml:space="preserve"> van de aanvragen geregistreerd. </w:t>
      </w:r>
    </w:p>
    <w:tbl>
      <w:tblPr>
        <w:tblW w:w="0" w:type="dxa"/>
        <w:tblCellMar>
          <w:top w:w="15" w:type="dxa"/>
          <w:left w:w="15" w:type="dxa"/>
          <w:bottom w:w="15" w:type="dxa"/>
          <w:right w:w="15" w:type="dxa"/>
        </w:tblCellMar>
        <w:tblLook w:val="04A0" w:firstRow="1" w:lastRow="0" w:firstColumn="1" w:lastColumn="0" w:noHBand="0" w:noVBand="1"/>
      </w:tblPr>
      <w:tblGrid>
        <w:gridCol w:w="9072"/>
      </w:tblGrid>
      <w:tr w:rsidR="0051564E" w14:paraId="16369847" w14:textId="77777777" w:rsidTr="0051564E">
        <w:tc>
          <w:tcPr>
            <w:tcW w:w="0" w:type="auto"/>
            <w:shd w:val="clear" w:color="auto" w:fill="auto"/>
            <w:tcMar>
              <w:top w:w="0" w:type="dxa"/>
              <w:left w:w="0" w:type="dxa"/>
              <w:bottom w:w="0" w:type="dxa"/>
              <w:right w:w="0" w:type="dxa"/>
            </w:tcMar>
            <w:vAlign w:val="center"/>
            <w:hideMark/>
          </w:tcPr>
          <w:p w14:paraId="476F5C59" w14:textId="52601FCA" w:rsidR="0051564E" w:rsidRDefault="00B83090">
            <w:pPr>
              <w:rPr>
                <w:rFonts w:ascii="Segoe UI" w:hAnsi="Segoe UI" w:cs="Segoe UI"/>
                <w:color w:val="605E5C"/>
                <w:sz w:val="18"/>
                <w:szCs w:val="18"/>
              </w:rPr>
            </w:pPr>
            <w:r>
              <w:rPr>
                <w:noProof/>
              </w:rPr>
              <w:lastRenderedPageBreak/>
              <w:drawing>
                <wp:inline distT="0" distB="0" distL="0" distR="0" wp14:anchorId="024E44F1" wp14:editId="0FB77DFD">
                  <wp:extent cx="5760720" cy="19113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911350"/>
                          </a:xfrm>
                          <a:prstGeom prst="rect">
                            <a:avLst/>
                          </a:prstGeom>
                        </pic:spPr>
                      </pic:pic>
                    </a:graphicData>
                  </a:graphic>
                </wp:inline>
              </w:drawing>
            </w:r>
          </w:p>
        </w:tc>
      </w:tr>
      <w:tr w:rsidR="0051564E" w14:paraId="1E93C36F" w14:textId="77777777" w:rsidTr="0051564E">
        <w:tc>
          <w:tcPr>
            <w:tcW w:w="0" w:type="auto"/>
            <w:shd w:val="clear" w:color="auto" w:fill="auto"/>
            <w:tcMar>
              <w:top w:w="0" w:type="dxa"/>
              <w:left w:w="0" w:type="dxa"/>
              <w:bottom w:w="0" w:type="dxa"/>
              <w:right w:w="0" w:type="dxa"/>
            </w:tcMar>
            <w:vAlign w:val="center"/>
            <w:hideMark/>
          </w:tcPr>
          <w:p w14:paraId="0C045DEB" w14:textId="450B0E50" w:rsidR="0051564E" w:rsidRDefault="00B83090">
            <w:pPr>
              <w:rPr>
                <w:rFonts w:ascii="Segoe UI" w:hAnsi="Segoe UI" w:cs="Segoe UI"/>
                <w:color w:val="605E5C"/>
                <w:sz w:val="18"/>
                <w:szCs w:val="18"/>
              </w:rPr>
            </w:pPr>
            <w:r>
              <w:rPr>
                <w:noProof/>
              </w:rPr>
              <w:drawing>
                <wp:inline distT="0" distB="0" distL="0" distR="0" wp14:anchorId="5430E735" wp14:editId="7322B56A">
                  <wp:extent cx="5760720" cy="1804035"/>
                  <wp:effectExtent l="0" t="0" r="0"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804035"/>
                          </a:xfrm>
                          <a:prstGeom prst="rect">
                            <a:avLst/>
                          </a:prstGeom>
                        </pic:spPr>
                      </pic:pic>
                    </a:graphicData>
                  </a:graphic>
                </wp:inline>
              </w:drawing>
            </w:r>
          </w:p>
        </w:tc>
      </w:tr>
    </w:tbl>
    <w:p w14:paraId="02F63071" w14:textId="6332C89F" w:rsidR="002C554E" w:rsidRPr="00746EE6" w:rsidRDefault="002C554E"/>
    <w:p w14:paraId="5A752275" w14:textId="7B4F73F8" w:rsidR="00451EA0" w:rsidRPr="00746EE6" w:rsidRDefault="00451EA0">
      <w:r w:rsidRPr="00746EE6">
        <w:t xml:space="preserve">Het overgrote merendeel van de </w:t>
      </w:r>
      <w:r w:rsidR="008714DD">
        <w:t xml:space="preserve">goedgekeurde </w:t>
      </w:r>
      <w:r w:rsidRPr="00746EE6">
        <w:t xml:space="preserve">aanvragen </w:t>
      </w:r>
      <w:r w:rsidRPr="00F60A98">
        <w:t xml:space="preserve">betrof </w:t>
      </w:r>
      <w:r w:rsidRPr="00144F80">
        <w:t>1</w:t>
      </w:r>
      <w:r w:rsidRPr="00F60A98">
        <w:t xml:space="preserve"> premie</w:t>
      </w:r>
      <w:r w:rsidRPr="00746EE6">
        <w:t>.</w:t>
      </w:r>
    </w:p>
    <w:p w14:paraId="39C20FAB" w14:textId="2C5A8897" w:rsidR="00451EA0" w:rsidRPr="00746EE6" w:rsidRDefault="00F60A98">
      <w:r>
        <w:rPr>
          <w:noProof/>
        </w:rPr>
        <w:drawing>
          <wp:inline distT="0" distB="0" distL="0" distR="0" wp14:anchorId="72AB1A75" wp14:editId="2922F683">
            <wp:extent cx="2933700" cy="18097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3700" cy="1809750"/>
                    </a:xfrm>
                    <a:prstGeom prst="rect">
                      <a:avLst/>
                    </a:prstGeom>
                  </pic:spPr>
                </pic:pic>
              </a:graphicData>
            </a:graphic>
          </wp:inline>
        </w:drawing>
      </w:r>
    </w:p>
    <w:p w14:paraId="7E5796D0" w14:textId="77777777" w:rsidR="008A03E0" w:rsidRPr="00746EE6" w:rsidRDefault="00666A25" w:rsidP="00B34E4C">
      <w:pPr>
        <w:pStyle w:val="Kop2"/>
      </w:pPr>
      <w:r w:rsidRPr="00746EE6">
        <w:t xml:space="preserve"> </w:t>
      </w:r>
      <w:bookmarkStart w:id="4" w:name="_Toc44512052"/>
      <w:r w:rsidRPr="00746EE6">
        <w:t>1.2. Sectorale verdeling</w:t>
      </w:r>
      <w:bookmarkEnd w:id="4"/>
    </w:p>
    <w:p w14:paraId="22364FC6" w14:textId="14B722E1" w:rsidR="00A16308" w:rsidRPr="00746EE6" w:rsidRDefault="00A16308">
      <w:r w:rsidRPr="00A16308">
        <w:t>De sectorale verdeling van de toegekende steun in de maatregel corona-hinderpremie vindt men in onderstaande tabel. Hieruit blijkt duidelijk een overwicht van NACE-klasses 4,</w:t>
      </w:r>
      <w:r>
        <w:t xml:space="preserve"> </w:t>
      </w:r>
      <w:r w:rsidRPr="00A16308">
        <w:t xml:space="preserve">5 en 9. Deze 3 sectoren vertegenwoordigen in totaal 94 procent van de toegekende steun. </w:t>
      </w:r>
    </w:p>
    <w:p w14:paraId="5048684C" w14:textId="6BC11EAB" w:rsidR="007C7217" w:rsidRPr="00746EE6" w:rsidRDefault="00F60A98">
      <w:r>
        <w:rPr>
          <w:noProof/>
        </w:rPr>
        <w:lastRenderedPageBreak/>
        <w:drawing>
          <wp:inline distT="0" distB="0" distL="0" distR="0" wp14:anchorId="6AC27F6D" wp14:editId="655976D8">
            <wp:extent cx="5254383" cy="1932167"/>
            <wp:effectExtent l="0" t="0" r="381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2101" cy="1942360"/>
                    </a:xfrm>
                    <a:prstGeom prst="rect">
                      <a:avLst/>
                    </a:prstGeom>
                  </pic:spPr>
                </pic:pic>
              </a:graphicData>
            </a:graphic>
          </wp:inline>
        </w:drawing>
      </w:r>
    </w:p>
    <w:p w14:paraId="04D5FA4A" w14:textId="2E516F89" w:rsidR="00AC6EEB" w:rsidRPr="00746EE6" w:rsidRDefault="00AC6EEB" w:rsidP="008C3902">
      <w:pPr>
        <w:pStyle w:val="Kop3"/>
      </w:pPr>
      <w:bookmarkStart w:id="5" w:name="_Toc44512053"/>
      <w:r w:rsidRPr="00746EE6">
        <w:t xml:space="preserve">Top </w:t>
      </w:r>
      <w:r w:rsidR="0027585D">
        <w:t>20</w:t>
      </w:r>
      <w:bookmarkEnd w:id="5"/>
    </w:p>
    <w:p w14:paraId="1FEF9D2F" w14:textId="52E00206" w:rsidR="007C7217" w:rsidRPr="00746EE6" w:rsidRDefault="00666A25">
      <w:r w:rsidRPr="00746EE6">
        <w:t xml:space="preserve">Onderstaande tabel bevat een overzicht van de </w:t>
      </w:r>
      <w:r w:rsidR="007C7217" w:rsidRPr="00746EE6">
        <w:t xml:space="preserve">top </w:t>
      </w:r>
      <w:r w:rsidR="0027585D">
        <w:t>20</w:t>
      </w:r>
      <w:r w:rsidR="007C7217" w:rsidRPr="00746EE6">
        <w:t xml:space="preserve"> van sub</w:t>
      </w:r>
      <w:r w:rsidRPr="00746EE6">
        <w:t xml:space="preserve">sectoren </w:t>
      </w:r>
      <w:r w:rsidR="007C7217" w:rsidRPr="00746EE6">
        <w:t xml:space="preserve"> (NACE 5) </w:t>
      </w:r>
      <w:r w:rsidRPr="00746EE6">
        <w:t xml:space="preserve">die het meest gebruik gemaakt hebben van de corona-hinderpremie. </w:t>
      </w:r>
      <w:r w:rsidR="007C7217" w:rsidRPr="00746EE6">
        <w:t xml:space="preserve"> </w:t>
      </w:r>
      <w:r w:rsidRPr="00746EE6">
        <w:t>Het betreft voornamelijk ondernemingen uit de horeca</w:t>
      </w:r>
      <w:r w:rsidR="00711620" w:rsidRPr="00746EE6">
        <w:t>, kapperszaken</w:t>
      </w:r>
      <w:r w:rsidRPr="00746EE6">
        <w:t xml:space="preserve"> en de detailhandel.</w:t>
      </w:r>
    </w:p>
    <w:p w14:paraId="466DE5AC" w14:textId="01F50CF7" w:rsidR="00666A25" w:rsidRDefault="00666A25">
      <w:r w:rsidRPr="00746EE6">
        <w:t xml:space="preserve"> </w:t>
      </w:r>
    </w:p>
    <w:p w14:paraId="46936FD9" w14:textId="36A5D712" w:rsidR="00850007" w:rsidRPr="00746EE6" w:rsidRDefault="00231593">
      <w:r>
        <w:rPr>
          <w:noProof/>
        </w:rPr>
        <w:drawing>
          <wp:inline distT="0" distB="0" distL="0" distR="0" wp14:anchorId="1338A821" wp14:editId="27DB0278">
            <wp:extent cx="5760720" cy="42348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4234815"/>
                    </a:xfrm>
                    <a:prstGeom prst="rect">
                      <a:avLst/>
                    </a:prstGeom>
                  </pic:spPr>
                </pic:pic>
              </a:graphicData>
            </a:graphic>
          </wp:inline>
        </w:drawing>
      </w:r>
    </w:p>
    <w:p w14:paraId="070C4B9A" w14:textId="17FA6FF7" w:rsidR="00C8314F" w:rsidRDefault="00C8314F" w:rsidP="00144F80">
      <w:pPr>
        <w:shd w:val="clear" w:color="auto" w:fill="FFFFFF" w:themeFill="background1"/>
      </w:pPr>
      <w:r w:rsidRPr="00C8314F">
        <w:t xml:space="preserve">Deze top 20 van subsectoren vertegenwoordigen 66 procent van het totaal aantal goedgekeurde aanvragen (de top 10 vertegenwoordigd 49 procent).   </w:t>
      </w:r>
    </w:p>
    <w:p w14:paraId="7C1E9BA0" w14:textId="0E346CA3" w:rsidR="00AC6EEB" w:rsidRPr="00746EE6" w:rsidRDefault="00AC6EEB" w:rsidP="00B34E4C">
      <w:pPr>
        <w:pStyle w:val="Kop2"/>
      </w:pPr>
      <w:bookmarkStart w:id="6" w:name="_Toc44512054"/>
      <w:r w:rsidRPr="00746EE6">
        <w:t>1.3. Provinciale verdeling</w:t>
      </w:r>
      <w:bookmarkEnd w:id="6"/>
    </w:p>
    <w:p w14:paraId="0C386529" w14:textId="2BD61854" w:rsidR="00833262" w:rsidRPr="00746EE6" w:rsidRDefault="00833262">
      <w:r w:rsidRPr="00746EE6">
        <w:t xml:space="preserve">Onderstaande tabel bevat een overzicht van de verdeling van de toegekende premies per provincie op basis van de maatschappelijke zetel van de onderneming. </w:t>
      </w:r>
    </w:p>
    <w:p w14:paraId="3D453ADE" w14:textId="291D83B3" w:rsidR="00AC6EEB" w:rsidRPr="00746EE6" w:rsidRDefault="00C8314F">
      <w:r w:rsidRPr="00C8314F">
        <w:rPr>
          <w:noProof/>
        </w:rPr>
        <w:lastRenderedPageBreak/>
        <w:t xml:space="preserve"> </w:t>
      </w:r>
      <w:r>
        <w:rPr>
          <w:noProof/>
        </w:rPr>
        <w:drawing>
          <wp:inline distT="0" distB="0" distL="0" distR="0" wp14:anchorId="5FABF7F6" wp14:editId="43778596">
            <wp:extent cx="5303520" cy="1506522"/>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1175" cy="1508696"/>
                    </a:xfrm>
                    <a:prstGeom prst="rect">
                      <a:avLst/>
                    </a:prstGeom>
                  </pic:spPr>
                </pic:pic>
              </a:graphicData>
            </a:graphic>
          </wp:inline>
        </w:drawing>
      </w:r>
    </w:p>
    <w:p w14:paraId="23F031B0" w14:textId="38C72E66" w:rsidR="00AC6EEB" w:rsidRPr="00746EE6" w:rsidRDefault="00AC6EEB" w:rsidP="00B34E4C">
      <w:pPr>
        <w:pStyle w:val="Kop2"/>
      </w:pPr>
      <w:bookmarkStart w:id="7" w:name="_Toc44512055"/>
      <w:r w:rsidRPr="00746EE6">
        <w:t xml:space="preserve">1.4. Verdeling volgens </w:t>
      </w:r>
      <w:r w:rsidR="00C16BAC" w:rsidRPr="00746EE6">
        <w:t>Rechtsvorm</w:t>
      </w:r>
      <w:bookmarkEnd w:id="7"/>
    </w:p>
    <w:p w14:paraId="63E08644" w14:textId="1F30C2D1" w:rsidR="007C7217" w:rsidRDefault="00C16BAC">
      <w:r w:rsidRPr="00746EE6">
        <w:t xml:space="preserve">Onderstaande tabel bevat een overzicht van de verdeling van de toegekende premies per rechtsvorm van de onderneming. </w:t>
      </w:r>
    </w:p>
    <w:p w14:paraId="0BD8CE7B" w14:textId="0A932DD1" w:rsidR="00C8314F" w:rsidRDefault="00C8314F">
      <w:r>
        <w:rPr>
          <w:noProof/>
        </w:rPr>
        <w:drawing>
          <wp:inline distT="0" distB="0" distL="0" distR="0" wp14:anchorId="4B5155B6" wp14:editId="75E50BC2">
            <wp:extent cx="4444780" cy="390780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53637" cy="3915587"/>
                    </a:xfrm>
                    <a:prstGeom prst="rect">
                      <a:avLst/>
                    </a:prstGeom>
                  </pic:spPr>
                </pic:pic>
              </a:graphicData>
            </a:graphic>
          </wp:inline>
        </w:drawing>
      </w:r>
    </w:p>
    <w:p w14:paraId="3039DC22" w14:textId="1C2F2E02" w:rsidR="000C3315" w:rsidRPr="00746EE6" w:rsidRDefault="000C3315" w:rsidP="00B34E4C">
      <w:pPr>
        <w:pStyle w:val="Kop2"/>
      </w:pPr>
      <w:bookmarkStart w:id="8" w:name="_Toc44512056"/>
      <w:r w:rsidRPr="00746EE6">
        <w:t>1.</w:t>
      </w:r>
      <w:r w:rsidR="00B34E4C">
        <w:t>5</w:t>
      </w:r>
      <w:r w:rsidRPr="00746EE6">
        <w:t xml:space="preserve">. Verdeling volgens </w:t>
      </w:r>
      <w:r>
        <w:t>Tewerkstellingsklasse</w:t>
      </w:r>
      <w:bookmarkEnd w:id="8"/>
    </w:p>
    <w:p w14:paraId="36BEC7A3" w14:textId="54F2B496" w:rsidR="000C3315" w:rsidRDefault="000C3315" w:rsidP="000C3315">
      <w:r w:rsidRPr="00746EE6">
        <w:t xml:space="preserve">Onderstaande tabel bevat een overzicht van de verdeling van de toegekende premies per </w:t>
      </w:r>
      <w:r>
        <w:t>tewerkstellingsklasse</w:t>
      </w:r>
      <w:r w:rsidRPr="00746EE6">
        <w:t xml:space="preserve"> van de onderneming. </w:t>
      </w:r>
    </w:p>
    <w:p w14:paraId="7E06C60A" w14:textId="4CF764D3" w:rsidR="0074093A" w:rsidRDefault="0074093A" w:rsidP="000C3315"/>
    <w:p w14:paraId="6E10A025" w14:textId="40AA7DA4" w:rsidR="00C8314F" w:rsidRDefault="00C8314F" w:rsidP="000C3315">
      <w:r>
        <w:rPr>
          <w:noProof/>
        </w:rPr>
        <w:lastRenderedPageBreak/>
        <w:drawing>
          <wp:inline distT="0" distB="0" distL="0" distR="0" wp14:anchorId="67A2DEBB" wp14:editId="6E47AA2F">
            <wp:extent cx="4429125" cy="2943225"/>
            <wp:effectExtent l="0" t="0" r="9525" b="952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9125" cy="2943225"/>
                    </a:xfrm>
                    <a:prstGeom prst="rect">
                      <a:avLst/>
                    </a:prstGeom>
                  </pic:spPr>
                </pic:pic>
              </a:graphicData>
            </a:graphic>
          </wp:inline>
        </w:drawing>
      </w:r>
    </w:p>
    <w:p w14:paraId="0F9494D2" w14:textId="4E274265" w:rsidR="00721053" w:rsidRDefault="00721053" w:rsidP="00721053">
      <w:pPr>
        <w:pStyle w:val="Kop2"/>
      </w:pPr>
      <w:bookmarkStart w:id="9" w:name="_Toc44512057"/>
      <w:r>
        <w:t>1.6. Verdeling volgens Hoofdberoep/Bijberoep</w:t>
      </w:r>
      <w:bookmarkEnd w:id="9"/>
    </w:p>
    <w:p w14:paraId="532B0238" w14:textId="3400FCE8" w:rsidR="003D7911" w:rsidRDefault="003D7911" w:rsidP="003D7911"/>
    <w:p w14:paraId="691019AC" w14:textId="50F55839" w:rsidR="003D7911" w:rsidRDefault="003D7911" w:rsidP="003D7911">
      <w:r>
        <w:t>Onderstaande tabel bevat een overzicht v</w:t>
      </w:r>
      <w:r w:rsidR="005D7A41">
        <w:t>a</w:t>
      </w:r>
      <w:r>
        <w:t>n de verdeling van de toegekende premies per hoofdberoep/bijberoep</w:t>
      </w:r>
      <w:r w:rsidR="005D7A41">
        <w:t xml:space="preserve"> voor de rechtsvorm van de eenmanszaken</w:t>
      </w:r>
      <w:r>
        <w:t xml:space="preserve">. </w:t>
      </w:r>
    </w:p>
    <w:p w14:paraId="3D4FBD94" w14:textId="3C2B6D62" w:rsidR="003D7911" w:rsidRDefault="003D7911" w:rsidP="003D7911">
      <w:r>
        <w:t xml:space="preserve">We zijn 26 maart gestart met het registreren van de aanvragen van de hinderpremie. </w:t>
      </w:r>
    </w:p>
    <w:p w14:paraId="24F30C9A" w14:textId="7FB5A844" w:rsidR="003D7911" w:rsidRPr="003D7911" w:rsidRDefault="003D7911" w:rsidP="003D7911">
      <w:r w:rsidRPr="00144F80">
        <w:t>8 april</w:t>
      </w:r>
      <w:r>
        <w:t xml:space="preserve"> zijn we gestart met het registreren van de opdeling naar hoofdberoep/bijberoep wat de eenmanszaken betreft</w:t>
      </w:r>
      <w:r w:rsidRPr="00C8314F">
        <w:t xml:space="preserve">. </w:t>
      </w:r>
      <w:r w:rsidRPr="00144F80">
        <w:t>Tot 8 april waren reeds 7</w:t>
      </w:r>
      <w:r w:rsidR="00C8314F" w:rsidRPr="00144F80">
        <w:t>1</w:t>
      </w:r>
      <w:r w:rsidRPr="00144F80">
        <w:t>% van</w:t>
      </w:r>
      <w:r>
        <w:t xml:space="preserve"> de totale aanvragen binnengelopen waarvoor we dit detail dus niet hebben meegenomen.</w:t>
      </w:r>
    </w:p>
    <w:p w14:paraId="7C499C81" w14:textId="770522B9" w:rsidR="00721053" w:rsidRDefault="00721053" w:rsidP="000C3315"/>
    <w:p w14:paraId="60678AB5" w14:textId="2C338B65" w:rsidR="00C8314F" w:rsidRPr="00746EE6" w:rsidRDefault="00C8314F" w:rsidP="000C3315">
      <w:r>
        <w:rPr>
          <w:noProof/>
        </w:rPr>
        <w:drawing>
          <wp:inline distT="0" distB="0" distL="0" distR="0" wp14:anchorId="507760C8" wp14:editId="409C1B95">
            <wp:extent cx="4921858" cy="183678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30917" cy="1840161"/>
                    </a:xfrm>
                    <a:prstGeom prst="rect">
                      <a:avLst/>
                    </a:prstGeom>
                  </pic:spPr>
                </pic:pic>
              </a:graphicData>
            </a:graphic>
          </wp:inline>
        </w:drawing>
      </w:r>
    </w:p>
    <w:p w14:paraId="05CD76CC" w14:textId="60B06F12" w:rsidR="002F042A" w:rsidRPr="00746EE6" w:rsidRDefault="002F042A">
      <w:pPr>
        <w:rPr>
          <w:b/>
          <w:bCs/>
        </w:rPr>
      </w:pPr>
    </w:p>
    <w:p w14:paraId="3EAED33B" w14:textId="2BF62191" w:rsidR="00D2442F" w:rsidRDefault="00AC6EEB" w:rsidP="00B34E4C">
      <w:pPr>
        <w:pStyle w:val="Kop1"/>
      </w:pPr>
      <w:bookmarkStart w:id="10" w:name="_Toc44512058"/>
      <w:r w:rsidRPr="00746EE6">
        <w:t>2</w:t>
      </w:r>
      <w:r w:rsidR="00666A25" w:rsidRPr="00746EE6">
        <w:t xml:space="preserve">. </w:t>
      </w:r>
      <w:r w:rsidR="00CC0296">
        <w:t>Stand van zaken corona-sluitingspremie</w:t>
      </w:r>
      <w:bookmarkEnd w:id="10"/>
    </w:p>
    <w:p w14:paraId="1C7291AB" w14:textId="2203BAE6" w:rsidR="00CC0296" w:rsidRDefault="009B53BA" w:rsidP="003D7911">
      <w:pPr>
        <w:pStyle w:val="Kop2"/>
      </w:pPr>
      <w:bookmarkStart w:id="11" w:name="_Toc44512059"/>
      <w:r>
        <w:t>2.1. Globaa</w:t>
      </w:r>
      <w:r w:rsidR="003D7911">
        <w:t>l</w:t>
      </w:r>
      <w:r>
        <w:t xml:space="preserve"> aantal toegekende Sluitingspremie</w:t>
      </w:r>
      <w:bookmarkEnd w:id="11"/>
    </w:p>
    <w:p w14:paraId="37C04E59" w14:textId="24DDB13B" w:rsidR="003D7911" w:rsidRPr="00746EE6" w:rsidRDefault="003D7911" w:rsidP="003D7911">
      <w:r w:rsidRPr="00746EE6">
        <w:t xml:space="preserve">Tot </w:t>
      </w:r>
      <w:r w:rsidR="006E147F">
        <w:t>1</w:t>
      </w:r>
      <w:r>
        <w:t xml:space="preserve"> </w:t>
      </w:r>
      <w:r w:rsidR="008714DD">
        <w:t>ju</w:t>
      </w:r>
      <w:r w:rsidR="006E147F">
        <w:t>l</w:t>
      </w:r>
      <w:r w:rsidR="008714DD">
        <w:t>i</w:t>
      </w:r>
      <w:r w:rsidRPr="00746EE6">
        <w:t xml:space="preserve"> werden</w:t>
      </w:r>
      <w:r w:rsidR="00420571">
        <w:t xml:space="preserve"> voor de 3 betalingsrondes</w:t>
      </w:r>
      <w:r w:rsidR="00420571" w:rsidRPr="00746EE6">
        <w:t xml:space="preserve">  </w:t>
      </w:r>
      <w:r w:rsidRPr="00746EE6">
        <w:t xml:space="preserve">in totaal </w:t>
      </w:r>
      <w:r w:rsidR="008714DD" w:rsidRPr="00144F80">
        <w:t>2</w:t>
      </w:r>
      <w:r w:rsidR="00420571" w:rsidRPr="00144F80">
        <w:t>71 869</w:t>
      </w:r>
      <w:r w:rsidR="008714DD" w:rsidRPr="00420571">
        <w:t xml:space="preserve"> dossiers</w:t>
      </w:r>
      <w:r w:rsidR="008714DD">
        <w:t xml:space="preserve"> verwerkt voor </w:t>
      </w:r>
      <w:r w:rsidR="008714DD" w:rsidRPr="00144F80">
        <w:t>10</w:t>
      </w:r>
      <w:r w:rsidR="00420571" w:rsidRPr="00144F80">
        <w:t>5</w:t>
      </w:r>
      <w:r w:rsidR="008714DD" w:rsidRPr="00144F80">
        <w:t xml:space="preserve"> </w:t>
      </w:r>
      <w:r w:rsidR="00420571" w:rsidRPr="00144F80">
        <w:t>321.</w:t>
      </w:r>
      <w:r w:rsidR="008714DD">
        <w:t xml:space="preserve"> </w:t>
      </w:r>
      <w:r w:rsidRPr="00746EE6">
        <w:t xml:space="preserve">Hiervan werden </w:t>
      </w:r>
      <w:r w:rsidR="00420571">
        <w:t xml:space="preserve">267 989 </w:t>
      </w:r>
      <w:r w:rsidRPr="00746EE6">
        <w:t>corona-</w:t>
      </w:r>
      <w:r w:rsidR="00936FCC">
        <w:t>sluitings</w:t>
      </w:r>
      <w:r w:rsidRPr="00746EE6">
        <w:t xml:space="preserve">premies goedgekeurd voor een totaal </w:t>
      </w:r>
      <w:r w:rsidRPr="00144F80">
        <w:rPr>
          <w:shd w:val="clear" w:color="auto" w:fill="FFFFFF" w:themeFill="background1"/>
        </w:rPr>
        <w:t>bedrag</w:t>
      </w:r>
      <w:r w:rsidR="00420571">
        <w:rPr>
          <w:shd w:val="clear" w:color="auto" w:fill="FFFFFF" w:themeFill="background1"/>
        </w:rPr>
        <w:t xml:space="preserve"> </w:t>
      </w:r>
      <w:r w:rsidR="00420571" w:rsidRPr="00420571">
        <w:rPr>
          <w:shd w:val="clear" w:color="auto" w:fill="FFFFFF" w:themeFill="background1"/>
        </w:rPr>
        <w:t>van 689 851 060</w:t>
      </w:r>
      <w:r w:rsidRPr="00144F80">
        <w:rPr>
          <w:shd w:val="clear" w:color="auto" w:fill="FFFFFF" w:themeFill="background1"/>
        </w:rPr>
        <w:t xml:space="preserve"> euro.  </w:t>
      </w:r>
      <w:r w:rsidR="00420571" w:rsidRPr="00144F80">
        <w:rPr>
          <w:shd w:val="clear" w:color="auto" w:fill="FFFFFF" w:themeFill="background1"/>
        </w:rPr>
        <w:t>Er</w:t>
      </w:r>
      <w:r w:rsidR="00420571">
        <w:t xml:space="preserve"> staan nog 3 subdossiers in behandeling.</w:t>
      </w:r>
    </w:p>
    <w:p w14:paraId="678A713A" w14:textId="33AC5B56" w:rsidR="003D7911" w:rsidRDefault="003D7911" w:rsidP="003D7911">
      <w:pPr>
        <w:rPr>
          <w:noProof/>
        </w:rPr>
      </w:pPr>
      <w:r w:rsidRPr="00746EE6">
        <w:lastRenderedPageBreak/>
        <w:t xml:space="preserve">  </w:t>
      </w:r>
    </w:p>
    <w:p w14:paraId="511926EB" w14:textId="63C4C3AC" w:rsidR="00682A2C" w:rsidRDefault="00682A2C" w:rsidP="003D7911">
      <w:pPr>
        <w:rPr>
          <w:noProof/>
        </w:rPr>
      </w:pPr>
      <w:r>
        <w:rPr>
          <w:noProof/>
        </w:rPr>
        <w:drawing>
          <wp:inline distT="0" distB="0" distL="0" distR="0" wp14:anchorId="23745269" wp14:editId="138C9A1C">
            <wp:extent cx="3593990" cy="1240781"/>
            <wp:effectExtent l="0" t="0" r="6985"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69164" cy="1301258"/>
                    </a:xfrm>
                    <a:prstGeom prst="rect">
                      <a:avLst/>
                    </a:prstGeom>
                  </pic:spPr>
                </pic:pic>
              </a:graphicData>
            </a:graphic>
          </wp:inline>
        </w:drawing>
      </w:r>
      <w:r w:rsidR="00420571" w:rsidRPr="00420571">
        <w:rPr>
          <w:noProof/>
        </w:rPr>
        <w:t xml:space="preserve"> </w:t>
      </w:r>
      <w:r w:rsidR="00420571">
        <w:rPr>
          <w:noProof/>
        </w:rPr>
        <w:drawing>
          <wp:inline distT="0" distB="0" distL="0" distR="0" wp14:anchorId="5A28DFA5" wp14:editId="556912CA">
            <wp:extent cx="1838578" cy="1407381"/>
            <wp:effectExtent l="0" t="0" r="0" b="254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50689" cy="1416651"/>
                    </a:xfrm>
                    <a:prstGeom prst="rect">
                      <a:avLst/>
                    </a:prstGeom>
                  </pic:spPr>
                </pic:pic>
              </a:graphicData>
            </a:graphic>
          </wp:inline>
        </w:drawing>
      </w:r>
    </w:p>
    <w:p w14:paraId="3532B082" w14:textId="3ABCEA0D" w:rsidR="00682A2C" w:rsidRPr="00746EE6" w:rsidRDefault="00682A2C" w:rsidP="003D7911"/>
    <w:p w14:paraId="50CE05D7" w14:textId="63BA3F8D" w:rsidR="00894700" w:rsidRDefault="00894700" w:rsidP="003D7911">
      <w:r>
        <w:t>Het verloop van de uitbetaling van de compensatiepremie is gebonden aan het gecommuniceerde tijdstip van uitbetaling door Vlaio.</w:t>
      </w:r>
      <w:r w:rsidR="00936FCC">
        <w:t xml:space="preserve"> </w:t>
      </w:r>
    </w:p>
    <w:p w14:paraId="2A0374D8" w14:textId="7B24F3DD" w:rsidR="003D7911" w:rsidRDefault="00022E42" w:rsidP="003D7911">
      <w:pPr>
        <w:rPr>
          <w:noProof/>
        </w:rPr>
      </w:pPr>
      <w:r w:rsidRPr="00022E42">
        <w:rPr>
          <w:noProof/>
        </w:rPr>
        <w:t xml:space="preserve"> </w:t>
      </w:r>
    </w:p>
    <w:p w14:paraId="2454223A" w14:textId="36C6A895" w:rsidR="00022E42" w:rsidRDefault="00022E42" w:rsidP="003D7911">
      <w:r>
        <w:rPr>
          <w:noProof/>
        </w:rPr>
        <w:drawing>
          <wp:inline distT="0" distB="0" distL="0" distR="0" wp14:anchorId="793DC07B" wp14:editId="7133FAC7">
            <wp:extent cx="5760720" cy="1879600"/>
            <wp:effectExtent l="0" t="0" r="0" b="635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879600"/>
                    </a:xfrm>
                    <a:prstGeom prst="rect">
                      <a:avLst/>
                    </a:prstGeom>
                  </pic:spPr>
                </pic:pic>
              </a:graphicData>
            </a:graphic>
          </wp:inline>
        </w:drawing>
      </w:r>
    </w:p>
    <w:p w14:paraId="7E3E3717" w14:textId="75A5E520" w:rsidR="0061117B" w:rsidRDefault="0061117B" w:rsidP="003D7911"/>
    <w:p w14:paraId="2E4AD4F0" w14:textId="2C037CC0" w:rsidR="00CC0296" w:rsidRDefault="00CC0296" w:rsidP="009B53BA">
      <w:pPr>
        <w:pStyle w:val="Kop1"/>
      </w:pPr>
      <w:bookmarkStart w:id="12" w:name="_Toc44512060"/>
      <w:r>
        <w:t>3. Stand van zaken corona-</w:t>
      </w:r>
      <w:r w:rsidR="009B53BA">
        <w:t>Compensatiepremie</w:t>
      </w:r>
      <w:bookmarkEnd w:id="12"/>
    </w:p>
    <w:p w14:paraId="2638DA40" w14:textId="595E7D31" w:rsidR="008F778C" w:rsidRDefault="009B53BA" w:rsidP="00721053">
      <w:pPr>
        <w:pStyle w:val="Kop2"/>
      </w:pPr>
      <w:bookmarkStart w:id="13" w:name="_Toc44512061"/>
      <w:r>
        <w:t>3.1. Globaal aantal toegekende corona-compensatiepremies</w:t>
      </w:r>
      <w:bookmarkEnd w:id="13"/>
    </w:p>
    <w:p w14:paraId="3C6070D9" w14:textId="4CC89DDC" w:rsidR="006603E8" w:rsidRDefault="006603E8" w:rsidP="006603E8">
      <w:r w:rsidRPr="00746EE6">
        <w:t xml:space="preserve">Tot </w:t>
      </w:r>
      <w:r w:rsidR="0061117B">
        <w:t>1 juli</w:t>
      </w:r>
      <w:r w:rsidRPr="00746EE6">
        <w:t xml:space="preserve"> werden in totaal </w:t>
      </w:r>
      <w:r w:rsidR="00393A93">
        <w:t>95 189</w:t>
      </w:r>
      <w:r>
        <w:t xml:space="preserve"> compensatie</w:t>
      </w:r>
      <w:r w:rsidRPr="00746EE6">
        <w:t>premies aangevraagd</w:t>
      </w:r>
      <w:r w:rsidR="00393A93">
        <w:t>. Zonder de 11 482 geannuleerde dossiers, die in feite niet meegeteld zouden moeten worden, komt het totaal op 83 707</w:t>
      </w:r>
      <w:r w:rsidRPr="00746EE6">
        <w:t>.  Hiervan werden</w:t>
      </w:r>
      <w:r w:rsidR="00393A93">
        <w:t xml:space="preserve"> 59 697</w:t>
      </w:r>
      <w:r w:rsidRPr="00746EE6">
        <w:t xml:space="preserve"> corona-</w:t>
      </w:r>
      <w:r>
        <w:t>compensatie</w:t>
      </w:r>
      <w:r w:rsidRPr="00746EE6">
        <w:t>premies goedgekeurd voor een totaal bedrag van</w:t>
      </w:r>
      <w:r w:rsidR="00393A93">
        <w:t xml:space="preserve"> 179 170 500 </w:t>
      </w:r>
      <w:r w:rsidRPr="00746EE6">
        <w:t>euro.  Daarnaast zijn er nog</w:t>
      </w:r>
      <w:r w:rsidR="00393A93">
        <w:t xml:space="preserve"> 19 066</w:t>
      </w:r>
      <w:r w:rsidRPr="00746EE6">
        <w:t xml:space="preserve"> premies voor een totaal bedrag van</w:t>
      </w:r>
      <w:r w:rsidR="00393A93">
        <w:t xml:space="preserve"> 58 257 000</w:t>
      </w:r>
      <w:r w:rsidRPr="00746EE6">
        <w:t xml:space="preserve"> euro waarvoor een dossier aangevraagd werd. Deze aanvragen moeten nog beoordeeld worden door het Agentschap Innoveren &amp; Ondernemen.</w:t>
      </w:r>
    </w:p>
    <w:p w14:paraId="7B703AA1" w14:textId="6ACDE425" w:rsidR="00393A93" w:rsidRPr="00746EE6" w:rsidRDefault="00393A93" w:rsidP="006603E8">
      <w:r>
        <w:rPr>
          <w:noProof/>
        </w:rPr>
        <w:drawing>
          <wp:inline distT="0" distB="0" distL="0" distR="0" wp14:anchorId="766E7486" wp14:editId="630DCF27">
            <wp:extent cx="3156668" cy="1711639"/>
            <wp:effectExtent l="0" t="0" r="5715" b="3175"/>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36922" cy="1755155"/>
                    </a:xfrm>
                    <a:prstGeom prst="rect">
                      <a:avLst/>
                    </a:prstGeom>
                  </pic:spPr>
                </pic:pic>
              </a:graphicData>
            </a:graphic>
          </wp:inline>
        </w:drawing>
      </w:r>
      <w:r w:rsidRPr="00393A93">
        <w:rPr>
          <w:noProof/>
        </w:rPr>
        <w:t xml:space="preserve"> </w:t>
      </w:r>
      <w:r>
        <w:rPr>
          <w:noProof/>
        </w:rPr>
        <w:drawing>
          <wp:inline distT="0" distB="0" distL="0" distR="0" wp14:anchorId="6FF89E20" wp14:editId="54B2BED8">
            <wp:extent cx="2123756" cy="1383196"/>
            <wp:effectExtent l="0" t="0" r="0" b="762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53862" cy="1402804"/>
                    </a:xfrm>
                    <a:prstGeom prst="rect">
                      <a:avLst/>
                    </a:prstGeom>
                  </pic:spPr>
                </pic:pic>
              </a:graphicData>
            </a:graphic>
          </wp:inline>
        </w:drawing>
      </w:r>
    </w:p>
    <w:p w14:paraId="6011F8C2" w14:textId="6530D36A" w:rsidR="006603E8" w:rsidRDefault="006603E8" w:rsidP="00144F80">
      <w:pPr>
        <w:shd w:val="clear" w:color="auto" w:fill="FFFFFF" w:themeFill="background1"/>
      </w:pPr>
      <w:r w:rsidRPr="00746EE6">
        <w:lastRenderedPageBreak/>
        <w:t xml:space="preserve">De eerste week werden </w:t>
      </w:r>
      <w:r w:rsidR="001973DA" w:rsidRPr="001973DA">
        <w:t>43 procent van de aanvragen geregistreerd.</w:t>
      </w:r>
    </w:p>
    <w:p w14:paraId="2C8122E3" w14:textId="1D2B7123" w:rsidR="006603E8" w:rsidRDefault="00393A93" w:rsidP="006603E8">
      <w:pPr>
        <w:rPr>
          <w:noProof/>
        </w:rPr>
      </w:pPr>
      <w:r w:rsidRPr="00393A93">
        <w:rPr>
          <w:noProof/>
        </w:rPr>
        <w:t xml:space="preserve"> </w:t>
      </w:r>
      <w:r>
        <w:rPr>
          <w:noProof/>
        </w:rPr>
        <w:drawing>
          <wp:inline distT="0" distB="0" distL="0" distR="0" wp14:anchorId="2D77EDB6" wp14:editId="5CAA5B9E">
            <wp:extent cx="5760720" cy="2511425"/>
            <wp:effectExtent l="0" t="0" r="0" b="317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2511425"/>
                    </a:xfrm>
                    <a:prstGeom prst="rect">
                      <a:avLst/>
                    </a:prstGeom>
                  </pic:spPr>
                </pic:pic>
              </a:graphicData>
            </a:graphic>
          </wp:inline>
        </w:drawing>
      </w:r>
    </w:p>
    <w:p w14:paraId="5006F671" w14:textId="7F1392A3" w:rsidR="00393A93" w:rsidRDefault="00393A93" w:rsidP="006603E8">
      <w:r>
        <w:rPr>
          <w:noProof/>
        </w:rPr>
        <w:drawing>
          <wp:inline distT="0" distB="0" distL="0" distR="0" wp14:anchorId="759608FA" wp14:editId="5EBACAED">
            <wp:extent cx="5760720" cy="2337435"/>
            <wp:effectExtent l="0" t="0" r="0" b="5715"/>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2337435"/>
                    </a:xfrm>
                    <a:prstGeom prst="rect">
                      <a:avLst/>
                    </a:prstGeom>
                  </pic:spPr>
                </pic:pic>
              </a:graphicData>
            </a:graphic>
          </wp:inline>
        </w:drawing>
      </w:r>
    </w:p>
    <w:p w14:paraId="2CED77A5" w14:textId="6CF8EFF9" w:rsidR="00484D7D" w:rsidRPr="00746EE6" w:rsidRDefault="00484D7D" w:rsidP="006603E8">
      <w:r>
        <w:t>De laatste twee dagen voor de finale indieningsdatum, was er ook nog een duidelijk piek, met in totaal nog 3898 aanvragen op 29 en 30 juni.</w:t>
      </w:r>
    </w:p>
    <w:p w14:paraId="0EDEA414" w14:textId="1A42D65B" w:rsidR="009B53BA" w:rsidRDefault="009B53BA" w:rsidP="009B53BA">
      <w:pPr>
        <w:pStyle w:val="Kop2"/>
      </w:pPr>
      <w:bookmarkStart w:id="14" w:name="_Toc44512062"/>
      <w:r>
        <w:t>3.2. Sectorale verdeling</w:t>
      </w:r>
      <w:bookmarkEnd w:id="14"/>
    </w:p>
    <w:p w14:paraId="45FFD6EE" w14:textId="73B85D5D" w:rsidR="00624E2A" w:rsidRDefault="00762154" w:rsidP="00624E2A">
      <w:r w:rsidRPr="00746EE6">
        <w:t>De sectorale verdeling van de toegekende steun in de maatregel corona-</w:t>
      </w:r>
      <w:r w:rsidR="00B063AE">
        <w:t>compensatie</w:t>
      </w:r>
      <w:r w:rsidRPr="00746EE6">
        <w:t>premie vindt men in onderstaande tabel.</w:t>
      </w:r>
    </w:p>
    <w:p w14:paraId="73A83085" w14:textId="0ACE6F11" w:rsidR="007711EC" w:rsidRDefault="007711EC" w:rsidP="00624E2A">
      <w:r>
        <w:rPr>
          <w:noProof/>
        </w:rPr>
        <w:drawing>
          <wp:inline distT="0" distB="0" distL="0" distR="0" wp14:anchorId="2C8799FF" wp14:editId="5145939E">
            <wp:extent cx="5255813" cy="1910098"/>
            <wp:effectExtent l="0" t="0" r="254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05947" cy="1928318"/>
                    </a:xfrm>
                    <a:prstGeom prst="rect">
                      <a:avLst/>
                    </a:prstGeom>
                  </pic:spPr>
                </pic:pic>
              </a:graphicData>
            </a:graphic>
          </wp:inline>
        </w:drawing>
      </w:r>
    </w:p>
    <w:p w14:paraId="064AD7F2" w14:textId="2667CD29" w:rsidR="006F5A9C" w:rsidRDefault="006F5A9C" w:rsidP="006F5A9C">
      <w:pPr>
        <w:pStyle w:val="Kop2"/>
      </w:pPr>
      <w:bookmarkStart w:id="15" w:name="_Toc44512063"/>
      <w:r>
        <w:lastRenderedPageBreak/>
        <w:t>Top 20</w:t>
      </w:r>
      <w:bookmarkEnd w:id="15"/>
    </w:p>
    <w:p w14:paraId="77366692" w14:textId="0837306C" w:rsidR="001B2C1F" w:rsidRPr="001B2C1F" w:rsidRDefault="001B2C1F" w:rsidP="001B2C1F">
      <w:r w:rsidRPr="00746EE6">
        <w:t xml:space="preserve">Onderstaande tabel bevat een overzicht van de top </w:t>
      </w:r>
      <w:r>
        <w:t>20</w:t>
      </w:r>
      <w:r w:rsidRPr="00746EE6">
        <w:t xml:space="preserve"> van subsectoren  (NACE 5) </w:t>
      </w:r>
      <w:r w:rsidR="007B6696">
        <w:t>die een compensatiepremie kregen toegekend</w:t>
      </w:r>
      <w:r w:rsidRPr="00746EE6">
        <w:t xml:space="preserve">.  Het betreft voornamelijk ondernemingen uit de </w:t>
      </w:r>
      <w:r>
        <w:t>ambulante revalidatie activiteiten en tandartspraktijken</w:t>
      </w:r>
      <w:r w:rsidRPr="00746EE6">
        <w:t>.</w:t>
      </w:r>
    </w:p>
    <w:p w14:paraId="025F6275" w14:textId="48494898" w:rsidR="006F5A9C" w:rsidRDefault="006F5A9C" w:rsidP="00624E2A"/>
    <w:p w14:paraId="70016563" w14:textId="7AF24A68" w:rsidR="007B6696" w:rsidRDefault="007B6696" w:rsidP="00624E2A">
      <w:r>
        <w:rPr>
          <w:noProof/>
        </w:rPr>
        <w:drawing>
          <wp:inline distT="0" distB="0" distL="0" distR="0" wp14:anchorId="3C1D7A15" wp14:editId="3BAC79F8">
            <wp:extent cx="5983644" cy="2735248"/>
            <wp:effectExtent l="0" t="0" r="0" b="825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91673" cy="2738918"/>
                    </a:xfrm>
                    <a:prstGeom prst="rect">
                      <a:avLst/>
                    </a:prstGeom>
                  </pic:spPr>
                </pic:pic>
              </a:graphicData>
            </a:graphic>
          </wp:inline>
        </w:drawing>
      </w:r>
    </w:p>
    <w:p w14:paraId="6BE46EDC" w14:textId="1325381D" w:rsidR="009B53BA" w:rsidRDefault="009B53BA" w:rsidP="009B53BA">
      <w:pPr>
        <w:pStyle w:val="Kop2"/>
      </w:pPr>
      <w:bookmarkStart w:id="16" w:name="_Toc44512064"/>
      <w:r>
        <w:t>3.3. Provinciale verdeling</w:t>
      </w:r>
      <w:bookmarkEnd w:id="16"/>
    </w:p>
    <w:p w14:paraId="391E2E21" w14:textId="0B5A6BDF" w:rsidR="00624E2A" w:rsidRDefault="00315EB0" w:rsidP="00624E2A">
      <w:r w:rsidRPr="00746EE6">
        <w:t xml:space="preserve">Onderstaande tabel bevat een overzicht van de verdeling van de toegekende premies per provincie op basis van de maatschappelijke zetel van de onderneming. </w:t>
      </w:r>
    </w:p>
    <w:p w14:paraId="2F7ABEE8" w14:textId="637B5A21" w:rsidR="007B6696" w:rsidRPr="00624E2A" w:rsidRDefault="007B6696" w:rsidP="00624E2A">
      <w:r>
        <w:rPr>
          <w:noProof/>
        </w:rPr>
        <w:drawing>
          <wp:inline distT="0" distB="0" distL="0" distR="0" wp14:anchorId="0E3D8746" wp14:editId="697B2F64">
            <wp:extent cx="5419725" cy="1962150"/>
            <wp:effectExtent l="0" t="0" r="9525"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19725" cy="1962150"/>
                    </a:xfrm>
                    <a:prstGeom prst="rect">
                      <a:avLst/>
                    </a:prstGeom>
                  </pic:spPr>
                </pic:pic>
              </a:graphicData>
            </a:graphic>
          </wp:inline>
        </w:drawing>
      </w:r>
    </w:p>
    <w:p w14:paraId="2A206D27" w14:textId="726F917B" w:rsidR="009B53BA" w:rsidRDefault="009B53BA" w:rsidP="009B53BA">
      <w:pPr>
        <w:pStyle w:val="Kop2"/>
      </w:pPr>
      <w:bookmarkStart w:id="17" w:name="_Toc44512065"/>
      <w:r>
        <w:t>3.4. Verdeling volgens Rechtsvorm</w:t>
      </w:r>
      <w:bookmarkEnd w:id="17"/>
    </w:p>
    <w:p w14:paraId="3D2D0555" w14:textId="29BBE55D" w:rsidR="005D7A41" w:rsidRPr="005D7A41" w:rsidRDefault="005D7A41" w:rsidP="005D7A41">
      <w:r w:rsidRPr="00746EE6">
        <w:t xml:space="preserve">Onderstaande tabel bevat een overzicht van de verdeling van de toegekende premies per rechtsvorm van de onderneming. </w:t>
      </w:r>
    </w:p>
    <w:p w14:paraId="7D95B7DB" w14:textId="00C97E03" w:rsidR="00624E2A" w:rsidRDefault="00624E2A" w:rsidP="00624E2A"/>
    <w:p w14:paraId="06B43A05" w14:textId="6D9BFF54" w:rsidR="007B6696" w:rsidRPr="00624E2A" w:rsidRDefault="007B6696" w:rsidP="00624E2A">
      <w:r>
        <w:rPr>
          <w:noProof/>
        </w:rPr>
        <w:lastRenderedPageBreak/>
        <w:drawing>
          <wp:inline distT="0" distB="0" distL="0" distR="0" wp14:anchorId="149F3B5F" wp14:editId="48769378">
            <wp:extent cx="4882101" cy="4199726"/>
            <wp:effectExtent l="0" t="0" r="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90975" cy="4207360"/>
                    </a:xfrm>
                    <a:prstGeom prst="rect">
                      <a:avLst/>
                    </a:prstGeom>
                  </pic:spPr>
                </pic:pic>
              </a:graphicData>
            </a:graphic>
          </wp:inline>
        </w:drawing>
      </w:r>
    </w:p>
    <w:p w14:paraId="5492F561" w14:textId="44A9C52B" w:rsidR="009B53BA" w:rsidRDefault="009B53BA" w:rsidP="009B53BA">
      <w:pPr>
        <w:pStyle w:val="Kop2"/>
      </w:pPr>
      <w:bookmarkStart w:id="18" w:name="_Toc44512066"/>
      <w:r>
        <w:t>3.5. Verdeling volgens Tewerkstellingsklasse</w:t>
      </w:r>
      <w:bookmarkEnd w:id="18"/>
    </w:p>
    <w:p w14:paraId="09A3452C" w14:textId="77777777" w:rsidR="005D7A41" w:rsidRDefault="005D7A41" w:rsidP="005D7A41">
      <w:r w:rsidRPr="00746EE6">
        <w:t xml:space="preserve">Onderstaande tabel bevat een overzicht van de verdeling van de toegekende premies per </w:t>
      </w:r>
      <w:r>
        <w:t>tewerkstellingsklasse</w:t>
      </w:r>
      <w:r w:rsidRPr="00746EE6">
        <w:t xml:space="preserve"> van de onderneming. </w:t>
      </w:r>
    </w:p>
    <w:p w14:paraId="348CE28A" w14:textId="0EE0AE18" w:rsidR="00624E2A" w:rsidRDefault="00624E2A" w:rsidP="00624E2A"/>
    <w:p w14:paraId="7EF312AB" w14:textId="051BF233" w:rsidR="006A3437" w:rsidRDefault="006A3437" w:rsidP="00624E2A">
      <w:r>
        <w:rPr>
          <w:noProof/>
        </w:rPr>
        <w:drawing>
          <wp:inline distT="0" distB="0" distL="0" distR="0" wp14:anchorId="1C273ABD" wp14:editId="096C7874">
            <wp:extent cx="3498574" cy="1995055"/>
            <wp:effectExtent l="0" t="0" r="6985" b="5715"/>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21277" cy="2008001"/>
                    </a:xfrm>
                    <a:prstGeom prst="rect">
                      <a:avLst/>
                    </a:prstGeom>
                  </pic:spPr>
                </pic:pic>
              </a:graphicData>
            </a:graphic>
          </wp:inline>
        </w:drawing>
      </w:r>
    </w:p>
    <w:p w14:paraId="683C9407" w14:textId="7F91E9E9" w:rsidR="006A3437" w:rsidRPr="00624E2A" w:rsidRDefault="006A3437" w:rsidP="00624E2A"/>
    <w:p w14:paraId="730BDBEB" w14:textId="76409BE9" w:rsidR="00721053" w:rsidRDefault="00721053" w:rsidP="00721053">
      <w:pPr>
        <w:pStyle w:val="Kop2"/>
      </w:pPr>
      <w:bookmarkStart w:id="19" w:name="_Toc44512067"/>
      <w:r>
        <w:t>3.6. Verdeling volgens Hoofdberoep/Bijberoep</w:t>
      </w:r>
      <w:bookmarkEnd w:id="19"/>
    </w:p>
    <w:p w14:paraId="1FAAB5C4" w14:textId="28502819" w:rsidR="00721053" w:rsidRDefault="005D7A41" w:rsidP="00721053">
      <w:r>
        <w:t xml:space="preserve">Onderstaande tabel bevat een overzicht ven de verdeling van de toegekende premies per hoofdberoep/bijberoep. </w:t>
      </w:r>
    </w:p>
    <w:p w14:paraId="6CF95515" w14:textId="2C5A93B1" w:rsidR="005D7A41" w:rsidRDefault="005D7A41" w:rsidP="00721053">
      <w:r>
        <w:t>Dit detail is enkel opgenomen voor de rechtsvorm van de eenmanszaken:</w:t>
      </w:r>
    </w:p>
    <w:p w14:paraId="33084513" w14:textId="2CFE96D8" w:rsidR="006A3437" w:rsidRDefault="006A3437" w:rsidP="00721053"/>
    <w:p w14:paraId="6AB42104" w14:textId="549BC141" w:rsidR="00585AD5" w:rsidRDefault="00585AD5" w:rsidP="00721053">
      <w:bookmarkStart w:id="20" w:name="_GoBack"/>
      <w:bookmarkEnd w:id="20"/>
      <w:r>
        <w:rPr>
          <w:noProof/>
        </w:rPr>
        <w:drawing>
          <wp:inline distT="0" distB="0" distL="0" distR="0" wp14:anchorId="7651ACCE" wp14:editId="365F6501">
            <wp:extent cx="5057775" cy="213360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57775" cy="2133600"/>
                    </a:xfrm>
                    <a:prstGeom prst="rect">
                      <a:avLst/>
                    </a:prstGeom>
                  </pic:spPr>
                </pic:pic>
              </a:graphicData>
            </a:graphic>
          </wp:inline>
        </w:drawing>
      </w:r>
    </w:p>
    <w:p w14:paraId="75F43237" w14:textId="085FE738" w:rsidR="00C27599" w:rsidRDefault="00C27599" w:rsidP="00721053"/>
    <w:p w14:paraId="13E34862" w14:textId="5ED33AC7" w:rsidR="00C27599" w:rsidRDefault="00910570" w:rsidP="00144F80">
      <w:pPr>
        <w:pStyle w:val="Kop1"/>
      </w:pPr>
      <w:bookmarkStart w:id="21" w:name="_Toc44512068"/>
      <w:r>
        <w:t xml:space="preserve">4. </w:t>
      </w:r>
      <w:r w:rsidR="00C27599">
        <w:t>Inspectiedossiers</w:t>
      </w:r>
      <w:bookmarkEnd w:id="21"/>
    </w:p>
    <w:p w14:paraId="36AB428E" w14:textId="2B135820" w:rsidR="00C90DA1" w:rsidRPr="008C0805" w:rsidRDefault="00910570" w:rsidP="00C90DA1">
      <w:r w:rsidRPr="008C0805">
        <w:t xml:space="preserve">Op </w:t>
      </w:r>
      <w:r w:rsidR="00557C86">
        <w:t>30 juni</w:t>
      </w:r>
      <w:r w:rsidR="00C90DA1" w:rsidRPr="008C0805">
        <w:t xml:space="preserve"> werden er in totaal 5567 inspecties afgerond. Hiervan </w:t>
      </w:r>
      <w:r w:rsidRPr="008C0805">
        <w:t>kregen er</w:t>
      </w:r>
      <w:r w:rsidR="00C90DA1" w:rsidRPr="008C0805">
        <w:t xml:space="preserve"> </w:t>
      </w:r>
      <w:r w:rsidRPr="008C0805">
        <w:t xml:space="preserve">2068 de status NOK (Niet OK), en </w:t>
      </w:r>
      <w:r w:rsidR="00C90DA1" w:rsidRPr="008C0805">
        <w:t>3499</w:t>
      </w:r>
      <w:r w:rsidRPr="008C0805">
        <w:t xml:space="preserve"> de status OK.</w:t>
      </w:r>
    </w:p>
    <w:p w14:paraId="2DDAB8D3" w14:textId="3276A03A" w:rsidR="00C90DA1" w:rsidRPr="008C0805" w:rsidRDefault="00C90DA1" w:rsidP="00C90DA1">
      <w:r w:rsidRPr="008C0805">
        <w:t>De 2068 inspecties NOK hebben geleid tot 1274 volledige terugvorderingen die reeds uitgestuurd zijn.</w:t>
      </w:r>
      <w:r w:rsidR="00910570" w:rsidRPr="008C0805">
        <w:t xml:space="preserve"> </w:t>
      </w:r>
      <w:r w:rsidRPr="008C0805">
        <w:t>De restfractie bestaat nog uit:</w:t>
      </w:r>
    </w:p>
    <w:p w14:paraId="3AF12F39" w14:textId="71C8FEAE" w:rsidR="00C90DA1" w:rsidRPr="008C0805" w:rsidRDefault="00910570" w:rsidP="00144F80">
      <w:pPr>
        <w:pStyle w:val="Lijstalinea"/>
        <w:numPr>
          <w:ilvl w:val="0"/>
          <w:numId w:val="2"/>
        </w:numPr>
      </w:pPr>
      <w:r w:rsidRPr="008C0805">
        <w:t>V</w:t>
      </w:r>
      <w:r w:rsidR="00C90DA1" w:rsidRPr="008C0805">
        <w:t>aststellingen die leiden tot gedeeltelijke terugvorderingen ( aantal vestigingen niet juist, aantal openingsdagen niet juist, …). Die moeten per dossier behandeld worden om het juiste terug te vorderen bedrag te kunnen vast stellen</w:t>
      </w:r>
    </w:p>
    <w:p w14:paraId="34EBFEA6" w14:textId="2DE1BC36" w:rsidR="00C90DA1" w:rsidRDefault="00910570" w:rsidP="00910570">
      <w:pPr>
        <w:pStyle w:val="Lijstalinea"/>
        <w:numPr>
          <w:ilvl w:val="0"/>
          <w:numId w:val="2"/>
        </w:numPr>
      </w:pPr>
      <w:r w:rsidRPr="008C0805">
        <w:t>V</w:t>
      </w:r>
      <w:r w:rsidR="00C90DA1" w:rsidRPr="008C0805">
        <w:t>olledige terugvorderingen die nog niet uitgestuurd zijn.</w:t>
      </w:r>
    </w:p>
    <w:p w14:paraId="47FE3464" w14:textId="32706FA3" w:rsidR="00557C86" w:rsidRDefault="00557C86" w:rsidP="00557C86"/>
    <w:p w14:paraId="1E77921D" w14:textId="7D6E1011" w:rsidR="00557C86" w:rsidRPr="008C0805" w:rsidRDefault="00557C86" w:rsidP="00557C86">
      <w:r>
        <w:t>Hieronder nog een overzicht van de teruggevorderde en terugbetaalde bedragen verdeeld over de premies op 1 juli.</w:t>
      </w:r>
    </w:p>
    <w:p w14:paraId="70B0D061" w14:textId="4F466AAB" w:rsidR="00910570" w:rsidRDefault="00557C86" w:rsidP="00910570">
      <w:r>
        <w:rPr>
          <w:noProof/>
        </w:rPr>
        <w:drawing>
          <wp:inline distT="0" distB="0" distL="0" distR="0" wp14:anchorId="509CA551" wp14:editId="247EFCF4">
            <wp:extent cx="3771900" cy="1352550"/>
            <wp:effectExtent l="0" t="0" r="0" b="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71900" cy="1352550"/>
                    </a:xfrm>
                    <a:prstGeom prst="rect">
                      <a:avLst/>
                    </a:prstGeom>
                  </pic:spPr>
                </pic:pic>
              </a:graphicData>
            </a:graphic>
          </wp:inline>
        </w:drawing>
      </w:r>
    </w:p>
    <w:p w14:paraId="5B771489" w14:textId="315551A7" w:rsidR="00557C86" w:rsidRDefault="00557C86" w:rsidP="00910570">
      <w:r>
        <w:rPr>
          <w:noProof/>
        </w:rPr>
        <w:drawing>
          <wp:inline distT="0" distB="0" distL="0" distR="0" wp14:anchorId="23FDEBA4" wp14:editId="5F45C094">
            <wp:extent cx="3876675" cy="1247775"/>
            <wp:effectExtent l="0" t="0" r="9525" b="952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876675" cy="1247775"/>
                    </a:xfrm>
                    <a:prstGeom prst="rect">
                      <a:avLst/>
                    </a:prstGeom>
                  </pic:spPr>
                </pic:pic>
              </a:graphicData>
            </a:graphic>
          </wp:inline>
        </w:drawing>
      </w:r>
    </w:p>
    <w:p w14:paraId="312A52C1" w14:textId="351B20B8" w:rsidR="00557C86" w:rsidRPr="00721053" w:rsidRDefault="00557C86" w:rsidP="00910570">
      <w:r>
        <w:rPr>
          <w:noProof/>
        </w:rPr>
        <w:lastRenderedPageBreak/>
        <w:drawing>
          <wp:inline distT="0" distB="0" distL="0" distR="0" wp14:anchorId="6CC3009E" wp14:editId="0FFB9C12">
            <wp:extent cx="4191000" cy="1247775"/>
            <wp:effectExtent l="0" t="0" r="0" b="9525"/>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91000" cy="1247775"/>
                    </a:xfrm>
                    <a:prstGeom prst="rect">
                      <a:avLst/>
                    </a:prstGeom>
                  </pic:spPr>
                </pic:pic>
              </a:graphicData>
            </a:graphic>
          </wp:inline>
        </w:drawing>
      </w:r>
    </w:p>
    <w:sectPr w:rsidR="00557C86" w:rsidRPr="00721053">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0AD09" w14:textId="77777777" w:rsidR="009064DA" w:rsidRDefault="009064DA" w:rsidP="0004602E">
      <w:pPr>
        <w:spacing w:after="0" w:line="240" w:lineRule="auto"/>
      </w:pPr>
      <w:r>
        <w:separator/>
      </w:r>
    </w:p>
  </w:endnote>
  <w:endnote w:type="continuationSeparator" w:id="0">
    <w:p w14:paraId="230590A4" w14:textId="77777777" w:rsidR="009064DA" w:rsidRDefault="009064DA" w:rsidP="0004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299917"/>
      <w:docPartObj>
        <w:docPartGallery w:val="Page Numbers (Bottom of Page)"/>
        <w:docPartUnique/>
      </w:docPartObj>
    </w:sdtPr>
    <w:sdtEndPr/>
    <w:sdtContent>
      <w:p w14:paraId="3E0C5ECE" w14:textId="7434D058" w:rsidR="00682FDD" w:rsidRDefault="00682FDD">
        <w:pPr>
          <w:pStyle w:val="Voettekst"/>
          <w:jc w:val="right"/>
        </w:pPr>
        <w:r>
          <w:fldChar w:fldCharType="begin"/>
        </w:r>
        <w:r>
          <w:instrText>PAGE   \* MERGEFORMAT</w:instrText>
        </w:r>
        <w:r>
          <w:fldChar w:fldCharType="separate"/>
        </w:r>
        <w:r>
          <w:rPr>
            <w:lang w:val="nl-NL"/>
          </w:rPr>
          <w:t>2</w:t>
        </w:r>
        <w:r>
          <w:fldChar w:fldCharType="end"/>
        </w:r>
      </w:p>
    </w:sdtContent>
  </w:sdt>
  <w:p w14:paraId="1455EF7D" w14:textId="77777777" w:rsidR="00682FDD" w:rsidRDefault="00682F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5DC1" w14:textId="77777777" w:rsidR="009064DA" w:rsidRDefault="009064DA" w:rsidP="0004602E">
      <w:pPr>
        <w:spacing w:after="0" w:line="240" w:lineRule="auto"/>
      </w:pPr>
      <w:bookmarkStart w:id="0" w:name="_Hlk38905810"/>
      <w:bookmarkEnd w:id="0"/>
      <w:r>
        <w:separator/>
      </w:r>
    </w:p>
  </w:footnote>
  <w:footnote w:type="continuationSeparator" w:id="0">
    <w:p w14:paraId="0B4E26FD" w14:textId="77777777" w:rsidR="009064DA" w:rsidRDefault="009064DA" w:rsidP="0004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9FB0" w14:textId="5E94C221" w:rsidR="00657B1C" w:rsidRPr="00657B1C" w:rsidRDefault="00657B1C" w:rsidP="00657B1C">
    <w:pPr>
      <w:pStyle w:val="Titel"/>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w:t>
    </w:r>
    <w:r w:rsidRPr="00657B1C">
      <w:rPr>
        <w:sz w:val="18"/>
        <w:szCs w:val="18"/>
      </w:rPr>
      <w:t xml:space="preserve"> </w:t>
    </w:r>
    <w:r>
      <w:rPr>
        <w:noProof/>
      </w:rPr>
      <w:drawing>
        <wp:inline distT="0" distB="0" distL="0" distR="0" wp14:anchorId="067ACFDC" wp14:editId="1780C57C">
          <wp:extent cx="1665027" cy="387488"/>
          <wp:effectExtent l="0" t="0" r="0" b="0"/>
          <wp:docPr id="22" name="Afbeelding 22" descr="C:\Users\VERSTAGE\AppData\Local\Microsoft\Windows\INetCache\Content.MSO\181DC2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ERSTAGE\AppData\Local\Microsoft\Windows\INetCache\Content.MSO\181DC2D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469" cy="403649"/>
                  </a:xfrm>
                  <a:prstGeom prst="rect">
                    <a:avLst/>
                  </a:prstGeom>
                  <a:noFill/>
                  <a:ln>
                    <a:noFill/>
                  </a:ln>
                </pic:spPr>
              </pic:pic>
            </a:graphicData>
          </a:graphic>
        </wp:inline>
      </w:drawing>
    </w:r>
  </w:p>
  <w:p w14:paraId="3481AB95" w14:textId="04D22FC9" w:rsidR="00657B1C" w:rsidRDefault="00657B1C" w:rsidP="00657B1C">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A50"/>
    <w:multiLevelType w:val="hybridMultilevel"/>
    <w:tmpl w:val="EA2E8F4C"/>
    <w:lvl w:ilvl="0" w:tplc="1CB6C15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E32DAA"/>
    <w:multiLevelType w:val="hybridMultilevel"/>
    <w:tmpl w:val="33A46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13"/>
    <w:rsid w:val="00022E42"/>
    <w:rsid w:val="0004602E"/>
    <w:rsid w:val="000B1438"/>
    <w:rsid w:val="000C3315"/>
    <w:rsid w:val="00144F80"/>
    <w:rsid w:val="001973DA"/>
    <w:rsid w:val="001B2C1F"/>
    <w:rsid w:val="001D3BDF"/>
    <w:rsid w:val="001E4334"/>
    <w:rsid w:val="001F6A13"/>
    <w:rsid w:val="00200035"/>
    <w:rsid w:val="002048BF"/>
    <w:rsid w:val="00231593"/>
    <w:rsid w:val="00257764"/>
    <w:rsid w:val="0027585D"/>
    <w:rsid w:val="00286BEF"/>
    <w:rsid w:val="0029797C"/>
    <w:rsid w:val="002C554E"/>
    <w:rsid w:val="002C6D78"/>
    <w:rsid w:val="002F042A"/>
    <w:rsid w:val="00306B79"/>
    <w:rsid w:val="003157BD"/>
    <w:rsid w:val="00315EB0"/>
    <w:rsid w:val="003232E9"/>
    <w:rsid w:val="00393A93"/>
    <w:rsid w:val="00397B0F"/>
    <w:rsid w:val="003D7911"/>
    <w:rsid w:val="00403B9C"/>
    <w:rsid w:val="00420571"/>
    <w:rsid w:val="0042389F"/>
    <w:rsid w:val="004309D0"/>
    <w:rsid w:val="00442F09"/>
    <w:rsid w:val="00451EA0"/>
    <w:rsid w:val="00484D7D"/>
    <w:rsid w:val="00506455"/>
    <w:rsid w:val="0051564E"/>
    <w:rsid w:val="0051717B"/>
    <w:rsid w:val="0054317B"/>
    <w:rsid w:val="00557C86"/>
    <w:rsid w:val="00585AD5"/>
    <w:rsid w:val="0059257F"/>
    <w:rsid w:val="005946D2"/>
    <w:rsid w:val="005A4A18"/>
    <w:rsid w:val="005A6A6A"/>
    <w:rsid w:val="005B1CAF"/>
    <w:rsid w:val="005D7A41"/>
    <w:rsid w:val="006053BB"/>
    <w:rsid w:val="0061117B"/>
    <w:rsid w:val="00624E2A"/>
    <w:rsid w:val="00642160"/>
    <w:rsid w:val="00657B1C"/>
    <w:rsid w:val="006603E8"/>
    <w:rsid w:val="00661153"/>
    <w:rsid w:val="00666A25"/>
    <w:rsid w:val="006703D8"/>
    <w:rsid w:val="00675093"/>
    <w:rsid w:val="00682A2C"/>
    <w:rsid w:val="00682FDD"/>
    <w:rsid w:val="00695CC8"/>
    <w:rsid w:val="00696A04"/>
    <w:rsid w:val="006A3437"/>
    <w:rsid w:val="006E147F"/>
    <w:rsid w:val="006E6B9E"/>
    <w:rsid w:val="006F5A9C"/>
    <w:rsid w:val="00711620"/>
    <w:rsid w:val="00721053"/>
    <w:rsid w:val="0074093A"/>
    <w:rsid w:val="00746EE6"/>
    <w:rsid w:val="007612AA"/>
    <w:rsid w:val="00762154"/>
    <w:rsid w:val="007666D8"/>
    <w:rsid w:val="007711EC"/>
    <w:rsid w:val="007B6696"/>
    <w:rsid w:val="007B6A4D"/>
    <w:rsid w:val="007C7217"/>
    <w:rsid w:val="00820041"/>
    <w:rsid w:val="00833262"/>
    <w:rsid w:val="00850007"/>
    <w:rsid w:val="00852574"/>
    <w:rsid w:val="008714DD"/>
    <w:rsid w:val="00871C0C"/>
    <w:rsid w:val="00882AF0"/>
    <w:rsid w:val="0088406A"/>
    <w:rsid w:val="00885B2B"/>
    <w:rsid w:val="00894700"/>
    <w:rsid w:val="008A03E0"/>
    <w:rsid w:val="008A7593"/>
    <w:rsid w:val="008C0805"/>
    <w:rsid w:val="008C3902"/>
    <w:rsid w:val="008F778C"/>
    <w:rsid w:val="009045C9"/>
    <w:rsid w:val="009064DA"/>
    <w:rsid w:val="009067EB"/>
    <w:rsid w:val="00910570"/>
    <w:rsid w:val="0091154B"/>
    <w:rsid w:val="00936FCC"/>
    <w:rsid w:val="009824AA"/>
    <w:rsid w:val="009B53BA"/>
    <w:rsid w:val="00A16308"/>
    <w:rsid w:val="00A26AF1"/>
    <w:rsid w:val="00AC6EEB"/>
    <w:rsid w:val="00AC7FA9"/>
    <w:rsid w:val="00AD18D8"/>
    <w:rsid w:val="00B063AE"/>
    <w:rsid w:val="00B34E4C"/>
    <w:rsid w:val="00B62DF5"/>
    <w:rsid w:val="00B83090"/>
    <w:rsid w:val="00BB0A76"/>
    <w:rsid w:val="00BD3A3A"/>
    <w:rsid w:val="00BF7CD0"/>
    <w:rsid w:val="00C16BAC"/>
    <w:rsid w:val="00C27599"/>
    <w:rsid w:val="00C8056E"/>
    <w:rsid w:val="00C8314F"/>
    <w:rsid w:val="00C83159"/>
    <w:rsid w:val="00C90DA1"/>
    <w:rsid w:val="00CC0296"/>
    <w:rsid w:val="00CC39C7"/>
    <w:rsid w:val="00CC4845"/>
    <w:rsid w:val="00CE2AE5"/>
    <w:rsid w:val="00D055E2"/>
    <w:rsid w:val="00D21BB5"/>
    <w:rsid w:val="00D2442F"/>
    <w:rsid w:val="00D44C03"/>
    <w:rsid w:val="00D615DB"/>
    <w:rsid w:val="00D67AC5"/>
    <w:rsid w:val="00D931FB"/>
    <w:rsid w:val="00DA1636"/>
    <w:rsid w:val="00DC01B4"/>
    <w:rsid w:val="00E072B9"/>
    <w:rsid w:val="00E0748E"/>
    <w:rsid w:val="00E13ADC"/>
    <w:rsid w:val="00E20114"/>
    <w:rsid w:val="00E27C29"/>
    <w:rsid w:val="00E64258"/>
    <w:rsid w:val="00E77315"/>
    <w:rsid w:val="00E80DAC"/>
    <w:rsid w:val="00E8379D"/>
    <w:rsid w:val="00E967DE"/>
    <w:rsid w:val="00EC63A8"/>
    <w:rsid w:val="00F0556D"/>
    <w:rsid w:val="00F076ED"/>
    <w:rsid w:val="00F22409"/>
    <w:rsid w:val="00F26E20"/>
    <w:rsid w:val="00F4384D"/>
    <w:rsid w:val="00F60A98"/>
    <w:rsid w:val="00F63BE4"/>
    <w:rsid w:val="00F75703"/>
    <w:rsid w:val="00FD1433"/>
    <w:rsid w:val="00FF47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6DF81"/>
  <w15:chartTrackingRefBased/>
  <w15:docId w15:val="{E24EC71E-226B-4AD9-A25C-80C0DF58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4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C39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2F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2FDD"/>
  </w:style>
  <w:style w:type="paragraph" w:styleId="Voettekst">
    <w:name w:val="footer"/>
    <w:basedOn w:val="Standaard"/>
    <w:link w:val="VoettekstChar"/>
    <w:uiPriority w:val="99"/>
    <w:unhideWhenUsed/>
    <w:rsid w:val="00682F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2FDD"/>
  </w:style>
  <w:style w:type="paragraph" w:styleId="Titel">
    <w:name w:val="Title"/>
    <w:basedOn w:val="Standaard"/>
    <w:next w:val="Standaard"/>
    <w:link w:val="TitelChar"/>
    <w:uiPriority w:val="10"/>
    <w:qFormat/>
    <w:rsid w:val="00661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15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34E4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34E4C"/>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CE2AE5"/>
    <w:pPr>
      <w:outlineLvl w:val="9"/>
    </w:pPr>
    <w:rPr>
      <w:lang w:eastAsia="nl-BE"/>
    </w:rPr>
  </w:style>
  <w:style w:type="paragraph" w:styleId="Inhopg1">
    <w:name w:val="toc 1"/>
    <w:basedOn w:val="Standaard"/>
    <w:next w:val="Standaard"/>
    <w:autoRedefine/>
    <w:uiPriority w:val="39"/>
    <w:unhideWhenUsed/>
    <w:rsid w:val="00910570"/>
    <w:pPr>
      <w:tabs>
        <w:tab w:val="right" w:leader="dot" w:pos="9062"/>
      </w:tabs>
      <w:spacing w:after="100"/>
    </w:pPr>
  </w:style>
  <w:style w:type="paragraph" w:styleId="Inhopg2">
    <w:name w:val="toc 2"/>
    <w:basedOn w:val="Standaard"/>
    <w:next w:val="Standaard"/>
    <w:autoRedefine/>
    <w:uiPriority w:val="39"/>
    <w:unhideWhenUsed/>
    <w:rsid w:val="00CE2AE5"/>
    <w:pPr>
      <w:spacing w:after="100"/>
      <w:ind w:left="220"/>
    </w:pPr>
  </w:style>
  <w:style w:type="character" w:styleId="Hyperlink">
    <w:name w:val="Hyperlink"/>
    <w:basedOn w:val="Standaardalinea-lettertype"/>
    <w:uiPriority w:val="99"/>
    <w:unhideWhenUsed/>
    <w:rsid w:val="00CE2AE5"/>
    <w:rPr>
      <w:color w:val="0563C1" w:themeColor="hyperlink"/>
      <w:u w:val="single"/>
    </w:rPr>
  </w:style>
  <w:style w:type="character" w:customStyle="1" w:styleId="Kop3Char">
    <w:name w:val="Kop 3 Char"/>
    <w:basedOn w:val="Standaardalinea-lettertype"/>
    <w:link w:val="Kop3"/>
    <w:uiPriority w:val="9"/>
    <w:rsid w:val="008C3902"/>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C3902"/>
    <w:pPr>
      <w:spacing w:after="100"/>
      <w:ind w:left="440"/>
    </w:pPr>
  </w:style>
  <w:style w:type="character" w:styleId="Verwijzingopmerking">
    <w:name w:val="annotation reference"/>
    <w:basedOn w:val="Standaardalinea-lettertype"/>
    <w:uiPriority w:val="99"/>
    <w:semiHidden/>
    <w:unhideWhenUsed/>
    <w:rsid w:val="0051564E"/>
    <w:rPr>
      <w:sz w:val="16"/>
      <w:szCs w:val="16"/>
    </w:rPr>
  </w:style>
  <w:style w:type="paragraph" w:styleId="Tekstopmerking">
    <w:name w:val="annotation text"/>
    <w:basedOn w:val="Standaard"/>
    <w:link w:val="TekstopmerkingChar"/>
    <w:uiPriority w:val="99"/>
    <w:semiHidden/>
    <w:unhideWhenUsed/>
    <w:rsid w:val="005156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564E"/>
    <w:rPr>
      <w:sz w:val="20"/>
      <w:szCs w:val="20"/>
    </w:rPr>
  </w:style>
  <w:style w:type="paragraph" w:styleId="Onderwerpvanopmerking">
    <w:name w:val="annotation subject"/>
    <w:basedOn w:val="Tekstopmerking"/>
    <w:next w:val="Tekstopmerking"/>
    <w:link w:val="OnderwerpvanopmerkingChar"/>
    <w:uiPriority w:val="99"/>
    <w:semiHidden/>
    <w:unhideWhenUsed/>
    <w:rsid w:val="0051564E"/>
    <w:rPr>
      <w:b/>
      <w:bCs/>
    </w:rPr>
  </w:style>
  <w:style w:type="character" w:customStyle="1" w:styleId="OnderwerpvanopmerkingChar">
    <w:name w:val="Onderwerp van opmerking Char"/>
    <w:basedOn w:val="TekstopmerkingChar"/>
    <w:link w:val="Onderwerpvanopmerking"/>
    <w:uiPriority w:val="99"/>
    <w:semiHidden/>
    <w:rsid w:val="0051564E"/>
    <w:rPr>
      <w:b/>
      <w:bCs/>
      <w:sz w:val="20"/>
      <w:szCs w:val="20"/>
    </w:rPr>
  </w:style>
  <w:style w:type="paragraph" w:styleId="Ballontekst">
    <w:name w:val="Balloon Text"/>
    <w:basedOn w:val="Standaard"/>
    <w:link w:val="BallontekstChar"/>
    <w:uiPriority w:val="99"/>
    <w:semiHidden/>
    <w:unhideWhenUsed/>
    <w:rsid w:val="005156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564E"/>
    <w:rPr>
      <w:rFonts w:ascii="Segoe UI" w:hAnsi="Segoe UI" w:cs="Segoe UI"/>
      <w:sz w:val="18"/>
      <w:szCs w:val="18"/>
    </w:rPr>
  </w:style>
  <w:style w:type="character" w:styleId="Onopgelostemelding">
    <w:name w:val="Unresolved Mention"/>
    <w:basedOn w:val="Standaardalinea-lettertype"/>
    <w:uiPriority w:val="99"/>
    <w:semiHidden/>
    <w:unhideWhenUsed/>
    <w:rsid w:val="0051564E"/>
    <w:rPr>
      <w:color w:val="605E5C"/>
      <w:shd w:val="clear" w:color="auto" w:fill="E1DFDD"/>
    </w:rPr>
  </w:style>
  <w:style w:type="paragraph" w:styleId="Revisie">
    <w:name w:val="Revision"/>
    <w:hidden/>
    <w:uiPriority w:val="99"/>
    <w:semiHidden/>
    <w:rsid w:val="00FD1433"/>
    <w:pPr>
      <w:spacing w:after="0" w:line="240" w:lineRule="auto"/>
    </w:pPr>
  </w:style>
  <w:style w:type="paragraph" w:styleId="Lijstalinea">
    <w:name w:val="List Paragraph"/>
    <w:basedOn w:val="Standaard"/>
    <w:uiPriority w:val="34"/>
    <w:qFormat/>
    <w:rsid w:val="0091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133">
      <w:bodyDiv w:val="1"/>
      <w:marLeft w:val="0"/>
      <w:marRight w:val="0"/>
      <w:marTop w:val="0"/>
      <w:marBottom w:val="0"/>
      <w:divBdr>
        <w:top w:val="none" w:sz="0" w:space="0" w:color="auto"/>
        <w:left w:val="none" w:sz="0" w:space="0" w:color="auto"/>
        <w:bottom w:val="none" w:sz="0" w:space="0" w:color="auto"/>
        <w:right w:val="none" w:sz="0" w:space="0" w:color="auto"/>
      </w:divBdr>
    </w:div>
    <w:div w:id="197620289">
      <w:bodyDiv w:val="1"/>
      <w:marLeft w:val="0"/>
      <w:marRight w:val="0"/>
      <w:marTop w:val="0"/>
      <w:marBottom w:val="0"/>
      <w:divBdr>
        <w:top w:val="none" w:sz="0" w:space="0" w:color="auto"/>
        <w:left w:val="none" w:sz="0" w:space="0" w:color="auto"/>
        <w:bottom w:val="none" w:sz="0" w:space="0" w:color="auto"/>
        <w:right w:val="none" w:sz="0" w:space="0" w:color="auto"/>
      </w:divBdr>
    </w:div>
    <w:div w:id="422917854">
      <w:bodyDiv w:val="1"/>
      <w:marLeft w:val="0"/>
      <w:marRight w:val="0"/>
      <w:marTop w:val="0"/>
      <w:marBottom w:val="0"/>
      <w:divBdr>
        <w:top w:val="none" w:sz="0" w:space="0" w:color="auto"/>
        <w:left w:val="none" w:sz="0" w:space="0" w:color="auto"/>
        <w:bottom w:val="none" w:sz="0" w:space="0" w:color="auto"/>
        <w:right w:val="none" w:sz="0" w:space="0" w:color="auto"/>
      </w:divBdr>
    </w:div>
    <w:div w:id="535701665">
      <w:bodyDiv w:val="1"/>
      <w:marLeft w:val="0"/>
      <w:marRight w:val="0"/>
      <w:marTop w:val="0"/>
      <w:marBottom w:val="0"/>
      <w:divBdr>
        <w:top w:val="none" w:sz="0" w:space="0" w:color="auto"/>
        <w:left w:val="none" w:sz="0" w:space="0" w:color="auto"/>
        <w:bottom w:val="none" w:sz="0" w:space="0" w:color="auto"/>
        <w:right w:val="none" w:sz="0" w:space="0" w:color="auto"/>
      </w:divBdr>
    </w:div>
    <w:div w:id="568426026">
      <w:bodyDiv w:val="1"/>
      <w:marLeft w:val="0"/>
      <w:marRight w:val="0"/>
      <w:marTop w:val="0"/>
      <w:marBottom w:val="0"/>
      <w:divBdr>
        <w:top w:val="none" w:sz="0" w:space="0" w:color="auto"/>
        <w:left w:val="none" w:sz="0" w:space="0" w:color="auto"/>
        <w:bottom w:val="none" w:sz="0" w:space="0" w:color="auto"/>
        <w:right w:val="none" w:sz="0" w:space="0" w:color="auto"/>
      </w:divBdr>
    </w:div>
    <w:div w:id="824781286">
      <w:bodyDiv w:val="1"/>
      <w:marLeft w:val="0"/>
      <w:marRight w:val="0"/>
      <w:marTop w:val="0"/>
      <w:marBottom w:val="0"/>
      <w:divBdr>
        <w:top w:val="none" w:sz="0" w:space="0" w:color="auto"/>
        <w:left w:val="none" w:sz="0" w:space="0" w:color="auto"/>
        <w:bottom w:val="none" w:sz="0" w:space="0" w:color="auto"/>
        <w:right w:val="none" w:sz="0" w:space="0" w:color="auto"/>
      </w:divBdr>
    </w:div>
    <w:div w:id="991911341">
      <w:bodyDiv w:val="1"/>
      <w:marLeft w:val="0"/>
      <w:marRight w:val="0"/>
      <w:marTop w:val="0"/>
      <w:marBottom w:val="0"/>
      <w:divBdr>
        <w:top w:val="none" w:sz="0" w:space="0" w:color="auto"/>
        <w:left w:val="none" w:sz="0" w:space="0" w:color="auto"/>
        <w:bottom w:val="none" w:sz="0" w:space="0" w:color="auto"/>
        <w:right w:val="none" w:sz="0" w:space="0" w:color="auto"/>
      </w:divBdr>
    </w:div>
    <w:div w:id="1055739259">
      <w:bodyDiv w:val="1"/>
      <w:marLeft w:val="0"/>
      <w:marRight w:val="0"/>
      <w:marTop w:val="0"/>
      <w:marBottom w:val="0"/>
      <w:divBdr>
        <w:top w:val="none" w:sz="0" w:space="0" w:color="auto"/>
        <w:left w:val="none" w:sz="0" w:space="0" w:color="auto"/>
        <w:bottom w:val="none" w:sz="0" w:space="0" w:color="auto"/>
        <w:right w:val="none" w:sz="0" w:space="0" w:color="auto"/>
      </w:divBdr>
    </w:div>
    <w:div w:id="1114708715">
      <w:bodyDiv w:val="1"/>
      <w:marLeft w:val="0"/>
      <w:marRight w:val="0"/>
      <w:marTop w:val="0"/>
      <w:marBottom w:val="0"/>
      <w:divBdr>
        <w:top w:val="none" w:sz="0" w:space="0" w:color="auto"/>
        <w:left w:val="none" w:sz="0" w:space="0" w:color="auto"/>
        <w:bottom w:val="none" w:sz="0" w:space="0" w:color="auto"/>
        <w:right w:val="none" w:sz="0" w:space="0" w:color="auto"/>
      </w:divBdr>
    </w:div>
    <w:div w:id="1183008306">
      <w:bodyDiv w:val="1"/>
      <w:marLeft w:val="0"/>
      <w:marRight w:val="0"/>
      <w:marTop w:val="0"/>
      <w:marBottom w:val="0"/>
      <w:divBdr>
        <w:top w:val="none" w:sz="0" w:space="0" w:color="auto"/>
        <w:left w:val="none" w:sz="0" w:space="0" w:color="auto"/>
        <w:bottom w:val="none" w:sz="0" w:space="0" w:color="auto"/>
        <w:right w:val="none" w:sz="0" w:space="0" w:color="auto"/>
      </w:divBdr>
    </w:div>
    <w:div w:id="1315723019">
      <w:bodyDiv w:val="1"/>
      <w:marLeft w:val="0"/>
      <w:marRight w:val="0"/>
      <w:marTop w:val="0"/>
      <w:marBottom w:val="0"/>
      <w:divBdr>
        <w:top w:val="none" w:sz="0" w:space="0" w:color="auto"/>
        <w:left w:val="none" w:sz="0" w:space="0" w:color="auto"/>
        <w:bottom w:val="none" w:sz="0" w:space="0" w:color="auto"/>
        <w:right w:val="none" w:sz="0" w:space="0" w:color="auto"/>
      </w:divBdr>
    </w:div>
    <w:div w:id="1340431018">
      <w:bodyDiv w:val="1"/>
      <w:marLeft w:val="0"/>
      <w:marRight w:val="0"/>
      <w:marTop w:val="0"/>
      <w:marBottom w:val="0"/>
      <w:divBdr>
        <w:top w:val="none" w:sz="0" w:space="0" w:color="auto"/>
        <w:left w:val="none" w:sz="0" w:space="0" w:color="auto"/>
        <w:bottom w:val="none" w:sz="0" w:space="0" w:color="auto"/>
        <w:right w:val="none" w:sz="0" w:space="0" w:color="auto"/>
      </w:divBdr>
    </w:div>
    <w:div w:id="1371415855">
      <w:bodyDiv w:val="1"/>
      <w:marLeft w:val="0"/>
      <w:marRight w:val="0"/>
      <w:marTop w:val="0"/>
      <w:marBottom w:val="0"/>
      <w:divBdr>
        <w:top w:val="none" w:sz="0" w:space="0" w:color="auto"/>
        <w:left w:val="none" w:sz="0" w:space="0" w:color="auto"/>
        <w:bottom w:val="none" w:sz="0" w:space="0" w:color="auto"/>
        <w:right w:val="none" w:sz="0" w:space="0" w:color="auto"/>
      </w:divBdr>
    </w:div>
    <w:div w:id="1439177228">
      <w:bodyDiv w:val="1"/>
      <w:marLeft w:val="0"/>
      <w:marRight w:val="0"/>
      <w:marTop w:val="0"/>
      <w:marBottom w:val="0"/>
      <w:divBdr>
        <w:top w:val="none" w:sz="0" w:space="0" w:color="auto"/>
        <w:left w:val="none" w:sz="0" w:space="0" w:color="auto"/>
        <w:bottom w:val="none" w:sz="0" w:space="0" w:color="auto"/>
        <w:right w:val="none" w:sz="0" w:space="0" w:color="auto"/>
      </w:divBdr>
    </w:div>
    <w:div w:id="1530028113">
      <w:bodyDiv w:val="1"/>
      <w:marLeft w:val="0"/>
      <w:marRight w:val="0"/>
      <w:marTop w:val="0"/>
      <w:marBottom w:val="0"/>
      <w:divBdr>
        <w:top w:val="none" w:sz="0" w:space="0" w:color="auto"/>
        <w:left w:val="none" w:sz="0" w:space="0" w:color="auto"/>
        <w:bottom w:val="none" w:sz="0" w:space="0" w:color="auto"/>
        <w:right w:val="none" w:sz="0" w:space="0" w:color="auto"/>
      </w:divBdr>
    </w:div>
    <w:div w:id="1697732000">
      <w:bodyDiv w:val="1"/>
      <w:marLeft w:val="0"/>
      <w:marRight w:val="0"/>
      <w:marTop w:val="0"/>
      <w:marBottom w:val="0"/>
      <w:divBdr>
        <w:top w:val="none" w:sz="0" w:space="0" w:color="auto"/>
        <w:left w:val="none" w:sz="0" w:space="0" w:color="auto"/>
        <w:bottom w:val="none" w:sz="0" w:space="0" w:color="auto"/>
        <w:right w:val="none" w:sz="0" w:space="0" w:color="auto"/>
      </w:divBdr>
    </w:div>
    <w:div w:id="1699743611">
      <w:bodyDiv w:val="1"/>
      <w:marLeft w:val="0"/>
      <w:marRight w:val="0"/>
      <w:marTop w:val="0"/>
      <w:marBottom w:val="0"/>
      <w:divBdr>
        <w:top w:val="none" w:sz="0" w:space="0" w:color="auto"/>
        <w:left w:val="none" w:sz="0" w:space="0" w:color="auto"/>
        <w:bottom w:val="none" w:sz="0" w:space="0" w:color="auto"/>
        <w:right w:val="none" w:sz="0" w:space="0" w:color="auto"/>
      </w:divBdr>
    </w:div>
    <w:div w:id="1774085033">
      <w:bodyDiv w:val="1"/>
      <w:marLeft w:val="0"/>
      <w:marRight w:val="0"/>
      <w:marTop w:val="0"/>
      <w:marBottom w:val="0"/>
      <w:divBdr>
        <w:top w:val="none" w:sz="0" w:space="0" w:color="auto"/>
        <w:left w:val="none" w:sz="0" w:space="0" w:color="auto"/>
        <w:bottom w:val="none" w:sz="0" w:space="0" w:color="auto"/>
        <w:right w:val="none" w:sz="0" w:space="0" w:color="auto"/>
      </w:divBdr>
    </w:div>
    <w:div w:id="2001154298">
      <w:bodyDiv w:val="1"/>
      <w:marLeft w:val="0"/>
      <w:marRight w:val="0"/>
      <w:marTop w:val="0"/>
      <w:marBottom w:val="0"/>
      <w:divBdr>
        <w:top w:val="none" w:sz="0" w:space="0" w:color="auto"/>
        <w:left w:val="none" w:sz="0" w:space="0" w:color="auto"/>
        <w:bottom w:val="none" w:sz="0" w:space="0" w:color="auto"/>
        <w:right w:val="none" w:sz="0" w:space="0" w:color="auto"/>
      </w:divBdr>
    </w:div>
    <w:div w:id="20632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1.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00B9020CA434BA94618287A9FC2EE" ma:contentTypeVersion="10" ma:contentTypeDescription="Een nieuw document maken." ma:contentTypeScope="" ma:versionID="a27ec2c74beacc395d39c529c011da37">
  <xsd:schema xmlns:xsd="http://www.w3.org/2001/XMLSchema" xmlns:xs="http://www.w3.org/2001/XMLSchema" xmlns:p="http://schemas.microsoft.com/office/2006/metadata/properties" xmlns:ns3="db852402-01fb-4704-8f6e-79c83b9f182b" xmlns:ns4="5f92eca5-7935-44a2-b67e-e0a74091c2df" targetNamespace="http://schemas.microsoft.com/office/2006/metadata/properties" ma:root="true" ma:fieldsID="18321383a5f8bd875f39950b40729bed" ns3:_="" ns4:_="">
    <xsd:import namespace="db852402-01fb-4704-8f6e-79c83b9f182b"/>
    <xsd:import namespace="5f92eca5-7935-44a2-b67e-e0a74091c2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2402-01fb-4704-8f6e-79c83b9f1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2eca5-7935-44a2-b67e-e0a74091c2d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74D3-0D77-45C7-80D1-9688FCE03354}">
  <ds:schemaRefs>
    <ds:schemaRef ds:uri="http://schemas.microsoft.com/sharepoint/v3/contenttype/forms"/>
  </ds:schemaRefs>
</ds:datastoreItem>
</file>

<file path=customXml/itemProps2.xml><?xml version="1.0" encoding="utf-8"?>
<ds:datastoreItem xmlns:ds="http://schemas.openxmlformats.org/officeDocument/2006/customXml" ds:itemID="{5187356A-2300-4A01-89AD-45C25CA5E0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203FC-A573-4C5B-A5D8-25FD4AC6A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2402-01fb-4704-8f6e-79c83b9f182b"/>
    <ds:schemaRef ds:uri="5f92eca5-7935-44a2-b67e-e0a74091c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2F948-552C-4A54-A5BF-770746F6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Pages>
  <Words>1360</Words>
  <Characters>7480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Schouwaerts Yves</dc:creator>
  <cp:keywords/>
  <dc:description/>
  <cp:lastModifiedBy>Van Beek Frank</cp:lastModifiedBy>
  <cp:revision>27</cp:revision>
  <dcterms:created xsi:type="dcterms:W3CDTF">2020-06-26T14:21:00Z</dcterms:created>
  <dcterms:modified xsi:type="dcterms:W3CDTF">2020-07-01T15:52:00Z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0x01010025A00B9020CA434BA94618287A9FC2EE</vt:lpwstr>
  </property>
</Properties>
</file>