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5168F" w14:textId="54D14510" w:rsidR="00B11BB1" w:rsidRPr="000E649D" w:rsidRDefault="00444E52" w:rsidP="00F515B1">
      <w:pPr>
        <w:jc w:val="both"/>
        <w:rPr>
          <w:rFonts w:ascii="Verdana" w:hAnsi="Verdana"/>
          <w:smallCaps/>
          <w:sz w:val="20"/>
          <w:lang w:val="nl-BE"/>
        </w:rPr>
      </w:pPr>
      <w:r>
        <w:rPr>
          <w:rFonts w:ascii="Verdana" w:hAnsi="Verdana"/>
          <w:b/>
          <w:smallCaps/>
          <w:sz w:val="20"/>
          <w:lang w:val="nl-BE"/>
        </w:rPr>
        <w:t xml:space="preserve">hilde </w:t>
      </w:r>
      <w:proofErr w:type="spellStart"/>
      <w:r>
        <w:rPr>
          <w:rFonts w:ascii="Verdana" w:hAnsi="Verdana"/>
          <w:b/>
          <w:smallCaps/>
          <w:sz w:val="20"/>
          <w:lang w:val="nl-BE"/>
        </w:rPr>
        <w:t>crevits</w:t>
      </w:r>
      <w:proofErr w:type="spellEnd"/>
    </w:p>
    <w:p w14:paraId="3AC51690" w14:textId="1A43B3AC" w:rsidR="00B11BB1" w:rsidRPr="000E649D" w:rsidRDefault="00617203" w:rsidP="00F515B1">
      <w:pPr>
        <w:jc w:val="both"/>
        <w:rPr>
          <w:rFonts w:ascii="Verdana" w:hAnsi="Verdana"/>
          <w:smallCaps/>
          <w:sz w:val="20"/>
          <w:lang w:val="nl-BE"/>
        </w:rPr>
      </w:pPr>
      <w:r>
        <w:rPr>
          <w:rFonts w:ascii="Verdana" w:hAnsi="Verdana"/>
          <w:smallCaps/>
          <w:sz w:val="20"/>
          <w:lang w:val="nl-BE"/>
        </w:rPr>
        <w:t xml:space="preserve">viceminister-president van de </w:t>
      </w:r>
      <w:proofErr w:type="spellStart"/>
      <w:r>
        <w:rPr>
          <w:rFonts w:ascii="Verdana" w:hAnsi="Verdana"/>
          <w:smallCaps/>
          <w:sz w:val="20"/>
          <w:lang w:val="nl-BE"/>
        </w:rPr>
        <w:t>vlaamse</w:t>
      </w:r>
      <w:proofErr w:type="spellEnd"/>
      <w:r>
        <w:rPr>
          <w:rFonts w:ascii="Verdana" w:hAnsi="Verdana"/>
          <w:smallCaps/>
          <w:sz w:val="20"/>
          <w:lang w:val="nl-BE"/>
        </w:rPr>
        <w:t xml:space="preserve"> regering, </w:t>
      </w:r>
      <w:proofErr w:type="spellStart"/>
      <w:r>
        <w:rPr>
          <w:rFonts w:ascii="Verdana" w:hAnsi="Verdana"/>
          <w:smallCaps/>
          <w:sz w:val="20"/>
          <w:lang w:val="nl-BE"/>
        </w:rPr>
        <w:t>vlaams</w:t>
      </w:r>
      <w:proofErr w:type="spellEnd"/>
      <w:r>
        <w:rPr>
          <w:rFonts w:ascii="Verdana" w:hAnsi="Verdana"/>
          <w:smallCaps/>
          <w:sz w:val="20"/>
          <w:lang w:val="nl-BE"/>
        </w:rPr>
        <w:t xml:space="preserve"> minister van economie, innovatie, werk, sociale economie en landbouw</w:t>
      </w:r>
    </w:p>
    <w:p w14:paraId="3AC51691" w14:textId="77777777" w:rsidR="00B11BB1" w:rsidRPr="000E649D" w:rsidRDefault="00B11BB1" w:rsidP="00F515B1">
      <w:pPr>
        <w:pStyle w:val="StandaardSV"/>
        <w:pBdr>
          <w:bottom w:val="single" w:sz="4" w:space="1" w:color="auto"/>
        </w:pBdr>
        <w:rPr>
          <w:rFonts w:ascii="Verdana" w:hAnsi="Verdana"/>
          <w:sz w:val="20"/>
          <w:lang w:val="nl-BE"/>
        </w:rPr>
      </w:pPr>
    </w:p>
    <w:p w14:paraId="3AC51692" w14:textId="77777777" w:rsidR="00B11BB1" w:rsidRPr="000E649D" w:rsidRDefault="00B11BB1" w:rsidP="00F515B1">
      <w:pPr>
        <w:jc w:val="both"/>
        <w:rPr>
          <w:rFonts w:ascii="Verdana" w:hAnsi="Verdana"/>
          <w:sz w:val="20"/>
        </w:rPr>
      </w:pPr>
    </w:p>
    <w:p w14:paraId="3AC51693" w14:textId="282188FB" w:rsidR="006D2F42" w:rsidRPr="005E0043" w:rsidRDefault="005E0043" w:rsidP="00F515B1">
      <w:pPr>
        <w:jc w:val="both"/>
        <w:rPr>
          <w:rFonts w:ascii="Verdana" w:hAnsi="Verdana"/>
          <w:b/>
          <w:smallCaps/>
          <w:sz w:val="20"/>
        </w:rPr>
      </w:pPr>
      <w:r>
        <w:rPr>
          <w:rFonts w:ascii="Verdana" w:hAnsi="Verdana"/>
          <w:b/>
          <w:smallCaps/>
          <w:sz w:val="20"/>
        </w:rPr>
        <w:t>a</w:t>
      </w:r>
      <w:r w:rsidR="006D2F42" w:rsidRPr="005E0043">
        <w:rPr>
          <w:rFonts w:ascii="Verdana" w:hAnsi="Verdana"/>
          <w:b/>
          <w:smallCaps/>
          <w:sz w:val="20"/>
        </w:rPr>
        <w:t>ntwoord</w:t>
      </w:r>
    </w:p>
    <w:p w14:paraId="3AC51694" w14:textId="3EFFC26C" w:rsidR="00B11BB1" w:rsidRPr="000E649D" w:rsidRDefault="006D2F42" w:rsidP="00F515B1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op v</w:t>
      </w:r>
      <w:r w:rsidR="00B11BB1" w:rsidRPr="000E649D">
        <w:rPr>
          <w:rFonts w:ascii="Verdana" w:hAnsi="Verdana"/>
          <w:sz w:val="20"/>
        </w:rPr>
        <w:t xml:space="preserve">raag nr. </w:t>
      </w:r>
      <w:r w:rsidR="00A42F0A">
        <w:rPr>
          <w:rFonts w:ascii="Verdana" w:hAnsi="Verdana"/>
          <w:sz w:val="20"/>
        </w:rPr>
        <w:t>22</w:t>
      </w:r>
      <w:r w:rsidR="002A6F13">
        <w:rPr>
          <w:rFonts w:ascii="Verdana" w:hAnsi="Verdana"/>
          <w:sz w:val="20"/>
        </w:rPr>
        <w:t>8</w:t>
      </w:r>
      <w:r w:rsidR="00193714">
        <w:rPr>
          <w:rFonts w:ascii="Verdana" w:hAnsi="Verdana"/>
          <w:sz w:val="20"/>
        </w:rPr>
        <w:t xml:space="preserve"> </w:t>
      </w:r>
      <w:r w:rsidR="00B11BB1" w:rsidRPr="000E649D">
        <w:rPr>
          <w:rFonts w:ascii="Verdana" w:hAnsi="Verdana"/>
          <w:sz w:val="20"/>
        </w:rPr>
        <w:t xml:space="preserve">van </w:t>
      </w:r>
      <w:r w:rsidR="00A42F0A">
        <w:rPr>
          <w:rFonts w:ascii="Verdana" w:hAnsi="Verdana"/>
          <w:sz w:val="20"/>
        </w:rPr>
        <w:t>1</w:t>
      </w:r>
      <w:r w:rsidR="002A6F13">
        <w:rPr>
          <w:rFonts w:ascii="Verdana" w:hAnsi="Verdana"/>
          <w:sz w:val="20"/>
        </w:rPr>
        <w:t>1</w:t>
      </w:r>
      <w:r w:rsidR="00A42F0A">
        <w:rPr>
          <w:rFonts w:ascii="Verdana" w:hAnsi="Verdana"/>
          <w:sz w:val="20"/>
        </w:rPr>
        <w:t xml:space="preserve"> december</w:t>
      </w:r>
      <w:r w:rsidR="00444F08">
        <w:rPr>
          <w:rFonts w:ascii="Verdana" w:hAnsi="Verdana"/>
          <w:sz w:val="20"/>
        </w:rPr>
        <w:t xml:space="preserve"> </w:t>
      </w:r>
      <w:r w:rsidR="00893267">
        <w:rPr>
          <w:rFonts w:ascii="Verdana" w:hAnsi="Verdana"/>
          <w:sz w:val="20"/>
        </w:rPr>
        <w:t>2020</w:t>
      </w:r>
    </w:p>
    <w:p w14:paraId="3AC51695" w14:textId="40F4A1EE" w:rsidR="00B11BB1" w:rsidRPr="00BA0247" w:rsidRDefault="00B11BB1" w:rsidP="00F515B1">
      <w:pPr>
        <w:jc w:val="both"/>
        <w:rPr>
          <w:rFonts w:ascii="Verdana" w:hAnsi="Verdana"/>
          <w:b/>
          <w:smallCaps/>
          <w:sz w:val="20"/>
          <w:lang w:val="nl-BE"/>
        </w:rPr>
      </w:pPr>
      <w:r w:rsidRPr="00A27A61">
        <w:rPr>
          <w:rFonts w:ascii="Verdana" w:hAnsi="Verdana"/>
          <w:sz w:val="20"/>
          <w:lang w:val="nl-BE"/>
        </w:rPr>
        <w:t xml:space="preserve">van </w:t>
      </w:r>
      <w:proofErr w:type="spellStart"/>
      <w:r w:rsidR="002A6F13">
        <w:rPr>
          <w:rFonts w:ascii="Verdana" w:hAnsi="Verdana"/>
          <w:b/>
          <w:smallCaps/>
          <w:sz w:val="20"/>
          <w:lang w:val="nl-BE"/>
        </w:rPr>
        <w:t>emmily</w:t>
      </w:r>
      <w:proofErr w:type="spellEnd"/>
      <w:r w:rsidR="002A6F13">
        <w:rPr>
          <w:rFonts w:ascii="Verdana" w:hAnsi="Verdana"/>
          <w:b/>
          <w:smallCaps/>
          <w:sz w:val="20"/>
          <w:lang w:val="nl-BE"/>
        </w:rPr>
        <w:t xml:space="preserve"> </w:t>
      </w:r>
      <w:proofErr w:type="spellStart"/>
      <w:r w:rsidR="002A6F13">
        <w:rPr>
          <w:rFonts w:ascii="Verdana" w:hAnsi="Verdana"/>
          <w:b/>
          <w:smallCaps/>
          <w:sz w:val="20"/>
          <w:lang w:val="nl-BE"/>
        </w:rPr>
        <w:t>talpe</w:t>
      </w:r>
      <w:proofErr w:type="spellEnd"/>
    </w:p>
    <w:p w14:paraId="3AC51696" w14:textId="77777777" w:rsidR="00B11BB1" w:rsidRPr="00A27A61" w:rsidRDefault="00B11BB1" w:rsidP="00F515B1">
      <w:pPr>
        <w:pBdr>
          <w:bottom w:val="single" w:sz="4" w:space="1" w:color="auto"/>
        </w:pBdr>
        <w:jc w:val="both"/>
        <w:rPr>
          <w:rFonts w:ascii="Verdana" w:hAnsi="Verdana"/>
          <w:sz w:val="20"/>
          <w:lang w:val="nl-BE"/>
        </w:rPr>
      </w:pPr>
    </w:p>
    <w:p w14:paraId="3AC51697" w14:textId="77777777" w:rsidR="00B11BB1" w:rsidRPr="00A27A61" w:rsidRDefault="00B11BB1" w:rsidP="00F515B1">
      <w:pPr>
        <w:pStyle w:val="StandaardSV"/>
        <w:rPr>
          <w:rFonts w:ascii="Verdana" w:hAnsi="Verdana"/>
          <w:sz w:val="20"/>
          <w:lang w:val="nl-BE"/>
        </w:rPr>
      </w:pPr>
    </w:p>
    <w:p w14:paraId="70428133" w14:textId="2446A7FE" w:rsidR="00D27BB2" w:rsidRDefault="00D27BB2" w:rsidP="00580690">
      <w:pPr>
        <w:pStyle w:val="StijlStandaardSVVerdana10ptCursiefLinks-175cm"/>
        <w:rPr>
          <w:i w:val="0"/>
        </w:rPr>
      </w:pPr>
    </w:p>
    <w:p w14:paraId="1E381804" w14:textId="3E729F4C" w:rsidR="00A42F0A" w:rsidRPr="001A2B37" w:rsidRDefault="00321011" w:rsidP="001A2B37">
      <w:pPr>
        <w:pStyle w:val="StijlStandaardSVVerdana10ptCursiefLinks-175cm"/>
        <w:numPr>
          <w:ilvl w:val="0"/>
          <w:numId w:val="5"/>
        </w:numPr>
        <w:rPr>
          <w:rFonts w:eastAsia="Calibri"/>
          <w:i w:val="0"/>
          <w:lang w:val="nl-BE" w:eastAsia="en-US"/>
        </w:rPr>
      </w:pPr>
      <w:r w:rsidRPr="001A2B37">
        <w:rPr>
          <w:rFonts w:eastAsia="Calibri"/>
          <w:i w:val="0"/>
          <w:lang w:val="nl-BE" w:eastAsia="en-US"/>
        </w:rPr>
        <w:t>Het rantsoen van runderen bestaat hoofdzakelijk uit ruwvoeder zoals graskuil, maïskuil</w:t>
      </w:r>
      <w:r w:rsidR="00DC05A4" w:rsidRPr="001A2B37">
        <w:rPr>
          <w:rFonts w:eastAsia="Calibri"/>
          <w:i w:val="0"/>
          <w:lang w:val="nl-BE" w:eastAsia="en-US"/>
        </w:rPr>
        <w:t xml:space="preserve"> </w:t>
      </w:r>
      <w:r w:rsidRPr="001A2B37">
        <w:rPr>
          <w:rFonts w:eastAsia="Calibri"/>
          <w:i w:val="0"/>
          <w:lang w:val="nl-BE" w:eastAsia="en-US"/>
        </w:rPr>
        <w:t>…</w:t>
      </w:r>
      <w:r w:rsidR="00DC05A4" w:rsidRPr="001A2B37">
        <w:rPr>
          <w:rFonts w:eastAsia="Calibri"/>
          <w:i w:val="0"/>
          <w:lang w:val="nl-BE" w:eastAsia="en-US"/>
        </w:rPr>
        <w:t>,</w:t>
      </w:r>
      <w:r w:rsidRPr="001A2B37">
        <w:rPr>
          <w:rFonts w:eastAsia="Calibri"/>
          <w:i w:val="0"/>
          <w:lang w:val="nl-BE" w:eastAsia="en-US"/>
        </w:rPr>
        <w:t xml:space="preserve"> al </w:t>
      </w:r>
      <w:r w:rsidR="00DC05A4" w:rsidRPr="001A2B37">
        <w:rPr>
          <w:rFonts w:eastAsia="Calibri"/>
          <w:i w:val="0"/>
          <w:lang w:val="nl-BE" w:eastAsia="en-US"/>
        </w:rPr>
        <w:t xml:space="preserve">dan </w:t>
      </w:r>
      <w:r w:rsidRPr="001A2B37">
        <w:rPr>
          <w:rFonts w:eastAsia="Calibri"/>
          <w:i w:val="0"/>
          <w:lang w:val="nl-BE" w:eastAsia="en-US"/>
        </w:rPr>
        <w:t>niet aangevuld met krachtvoeders</w:t>
      </w:r>
      <w:r w:rsidR="00941A8C" w:rsidRPr="001A2B37">
        <w:rPr>
          <w:rFonts w:eastAsia="Calibri"/>
          <w:i w:val="0"/>
          <w:lang w:val="nl-BE" w:eastAsia="en-US"/>
        </w:rPr>
        <w:t xml:space="preserve"> afhankelijk van de diercategorie</w:t>
      </w:r>
      <w:r w:rsidRPr="001A2B37">
        <w:rPr>
          <w:rFonts w:eastAsia="Calibri"/>
          <w:i w:val="0"/>
          <w:lang w:val="nl-BE" w:eastAsia="en-US"/>
        </w:rPr>
        <w:t>. Sojaproducten behoren tot de groep krachtvoeders. Het ruwvoeder dat verstrekt wordt aan runderen</w:t>
      </w:r>
      <w:r w:rsidR="00DC05A4" w:rsidRPr="001A2B37">
        <w:rPr>
          <w:rFonts w:eastAsia="Calibri"/>
          <w:i w:val="0"/>
          <w:lang w:val="nl-BE" w:eastAsia="en-US"/>
        </w:rPr>
        <w:t>,</w:t>
      </w:r>
      <w:r w:rsidRPr="001A2B37">
        <w:rPr>
          <w:rFonts w:eastAsia="Calibri"/>
          <w:i w:val="0"/>
          <w:lang w:val="nl-BE" w:eastAsia="en-US"/>
        </w:rPr>
        <w:t xml:space="preserve"> is </w:t>
      </w:r>
      <w:r w:rsidR="00FC5C43" w:rsidRPr="001A2B37">
        <w:rPr>
          <w:rFonts w:eastAsia="Calibri"/>
          <w:i w:val="0"/>
          <w:lang w:val="nl-BE" w:eastAsia="en-US"/>
        </w:rPr>
        <w:t xml:space="preserve">dan ook </w:t>
      </w:r>
      <w:r w:rsidR="0094016B" w:rsidRPr="001A2B37">
        <w:rPr>
          <w:rFonts w:eastAsia="Calibri"/>
          <w:i w:val="0"/>
          <w:lang w:val="nl-BE" w:eastAsia="en-US"/>
        </w:rPr>
        <w:t>sojavrij.</w:t>
      </w:r>
    </w:p>
    <w:p w14:paraId="4E92C05B" w14:textId="77777777" w:rsidR="00E93B96" w:rsidRDefault="00E93B96" w:rsidP="001855A9">
      <w:pPr>
        <w:pStyle w:val="StijlStandaardSVVerdana10ptCursiefLinks-175cm"/>
        <w:ind w:left="360"/>
        <w:rPr>
          <w:rFonts w:eastAsia="Calibri"/>
          <w:i w:val="0"/>
          <w:lang w:val="nl-BE" w:eastAsia="en-US"/>
        </w:rPr>
      </w:pPr>
    </w:p>
    <w:p w14:paraId="2C6AB199" w14:textId="3949F22C" w:rsidR="003C7029" w:rsidRDefault="00D8497B" w:rsidP="001855A9">
      <w:pPr>
        <w:pStyle w:val="StijlStandaardSVVerdana10ptCursiefLinks-175cm"/>
        <w:numPr>
          <w:ilvl w:val="0"/>
          <w:numId w:val="5"/>
        </w:numPr>
        <w:rPr>
          <w:rFonts w:eastAsia="Calibri"/>
          <w:i w:val="0"/>
          <w:lang w:val="nl-BE" w:eastAsia="en-US"/>
        </w:rPr>
      </w:pPr>
      <w:r>
        <w:rPr>
          <w:rFonts w:eastAsia="Calibri"/>
          <w:i w:val="0"/>
          <w:lang w:val="nl-BE" w:eastAsia="en-US"/>
        </w:rPr>
        <w:t xml:space="preserve">Er zijn </w:t>
      </w:r>
      <w:r w:rsidR="00296EBD">
        <w:rPr>
          <w:rFonts w:eastAsia="Calibri"/>
          <w:i w:val="0"/>
          <w:lang w:val="nl-BE" w:eastAsia="en-US"/>
        </w:rPr>
        <w:t xml:space="preserve">hierover </w:t>
      </w:r>
      <w:r>
        <w:rPr>
          <w:rFonts w:eastAsia="Calibri"/>
          <w:i w:val="0"/>
          <w:lang w:val="nl-BE" w:eastAsia="en-US"/>
        </w:rPr>
        <w:t>geen cijfers beschikbaar.</w:t>
      </w:r>
    </w:p>
    <w:p w14:paraId="0660F9DA" w14:textId="0BC523D7" w:rsidR="002A6F13" w:rsidRDefault="002A6F13" w:rsidP="001855A9">
      <w:pPr>
        <w:pStyle w:val="StijlStandaardSVVerdana10ptCursiefLinks-175cm"/>
        <w:ind w:left="360"/>
        <w:rPr>
          <w:rFonts w:eastAsia="Calibri"/>
          <w:i w:val="0"/>
          <w:lang w:val="nl-BE" w:eastAsia="en-US"/>
        </w:rPr>
      </w:pPr>
    </w:p>
    <w:p w14:paraId="1080E3B4" w14:textId="64DC536E" w:rsidR="002A6F13" w:rsidRDefault="00E3202B" w:rsidP="001855A9">
      <w:pPr>
        <w:pStyle w:val="StijlStandaardSVVerdana10ptCursiefLinks-175cm"/>
        <w:numPr>
          <w:ilvl w:val="0"/>
          <w:numId w:val="5"/>
        </w:numPr>
        <w:rPr>
          <w:rFonts w:eastAsia="Calibri"/>
          <w:i w:val="0"/>
          <w:lang w:val="nl-BE" w:eastAsia="en-US"/>
        </w:rPr>
      </w:pPr>
      <w:r>
        <w:rPr>
          <w:rFonts w:eastAsia="Calibri"/>
          <w:i w:val="0"/>
          <w:lang w:val="nl-BE" w:eastAsia="en-US"/>
        </w:rPr>
        <w:t xml:space="preserve">Er zijn </w:t>
      </w:r>
      <w:r w:rsidR="00296EBD">
        <w:rPr>
          <w:rFonts w:eastAsia="Calibri"/>
          <w:i w:val="0"/>
          <w:lang w:val="nl-BE" w:eastAsia="en-US"/>
        </w:rPr>
        <w:t xml:space="preserve">hierover </w:t>
      </w:r>
      <w:r>
        <w:rPr>
          <w:rFonts w:eastAsia="Calibri"/>
          <w:i w:val="0"/>
          <w:lang w:val="nl-BE" w:eastAsia="en-US"/>
        </w:rPr>
        <w:t>geen cijfers beschikbaar.</w:t>
      </w:r>
    </w:p>
    <w:p w14:paraId="3F612B38" w14:textId="77777777" w:rsidR="00E135F1" w:rsidRDefault="00E135F1" w:rsidP="00E135F1">
      <w:pPr>
        <w:pStyle w:val="StijlStandaardSVVerdana10ptCursiefLinks-175cm"/>
        <w:ind w:left="360"/>
        <w:rPr>
          <w:rFonts w:eastAsia="Calibri"/>
          <w:i w:val="0"/>
          <w:lang w:val="nl-BE" w:eastAsia="en-US"/>
        </w:rPr>
      </w:pPr>
    </w:p>
    <w:p w14:paraId="121D95F6" w14:textId="51B5ABF8" w:rsidR="009432F4" w:rsidRPr="001A2B37" w:rsidRDefault="009432F4" w:rsidP="001A2B37">
      <w:pPr>
        <w:pStyle w:val="StijlStandaardSVVerdana10ptCursiefLinks-175cm"/>
        <w:numPr>
          <w:ilvl w:val="0"/>
          <w:numId w:val="5"/>
        </w:numPr>
        <w:rPr>
          <w:rFonts w:eastAsia="Calibri"/>
          <w:i w:val="0"/>
          <w:lang w:val="nl-BE" w:eastAsia="en-US"/>
        </w:rPr>
      </w:pPr>
      <w:r w:rsidRPr="001A2B37">
        <w:rPr>
          <w:rFonts w:eastAsia="Calibri"/>
          <w:i w:val="0"/>
          <w:lang w:val="nl-BE" w:eastAsia="en-US"/>
        </w:rPr>
        <w:t>Het p</w:t>
      </w:r>
      <w:r w:rsidR="00E40797" w:rsidRPr="001A2B37">
        <w:rPr>
          <w:rFonts w:eastAsia="Calibri"/>
          <w:i w:val="0"/>
          <w:lang w:val="nl-BE" w:eastAsia="en-US"/>
        </w:rPr>
        <w:t xml:space="preserve">rocentuele aandeel </w:t>
      </w:r>
      <w:r w:rsidR="005E3980" w:rsidRPr="001A2B37">
        <w:rPr>
          <w:rFonts w:eastAsia="Calibri"/>
          <w:i w:val="0"/>
          <w:lang w:val="nl-BE" w:eastAsia="en-US"/>
        </w:rPr>
        <w:t xml:space="preserve">van België aan rechtstreekse invoer van </w:t>
      </w:r>
      <w:r w:rsidR="00E40797" w:rsidRPr="001A2B37">
        <w:rPr>
          <w:rFonts w:eastAsia="Calibri"/>
          <w:i w:val="0"/>
          <w:lang w:val="nl-BE" w:eastAsia="en-US"/>
        </w:rPr>
        <w:t xml:space="preserve">sojaschroot en sojabonen </w:t>
      </w:r>
      <w:r w:rsidRPr="001A2B37">
        <w:rPr>
          <w:rFonts w:eastAsia="Calibri"/>
          <w:i w:val="0"/>
          <w:lang w:val="nl-BE" w:eastAsia="en-US"/>
        </w:rPr>
        <w:t xml:space="preserve">vanuit Brazilië </w:t>
      </w:r>
      <w:r w:rsidR="005E3980" w:rsidRPr="001A2B37">
        <w:rPr>
          <w:rFonts w:eastAsia="Calibri"/>
          <w:i w:val="0"/>
          <w:lang w:val="nl-BE" w:eastAsia="en-US"/>
        </w:rPr>
        <w:t>in</w:t>
      </w:r>
      <w:r w:rsidRPr="001A2B37">
        <w:rPr>
          <w:rFonts w:eastAsia="Calibri"/>
          <w:i w:val="0"/>
          <w:lang w:val="nl-BE" w:eastAsia="en-US"/>
        </w:rPr>
        <w:t xml:space="preserve"> de totale Braziliaanse export v</w:t>
      </w:r>
      <w:r w:rsidR="00A237A2" w:rsidRPr="001A2B37">
        <w:rPr>
          <w:rFonts w:eastAsia="Calibri"/>
          <w:i w:val="0"/>
          <w:lang w:val="nl-BE" w:eastAsia="en-US"/>
        </w:rPr>
        <w:t xml:space="preserve">an </w:t>
      </w:r>
      <w:r w:rsidRPr="001A2B37">
        <w:rPr>
          <w:rFonts w:eastAsia="Calibri"/>
          <w:i w:val="0"/>
          <w:lang w:val="nl-BE" w:eastAsia="en-US"/>
        </w:rPr>
        <w:t>deze producten voor de periode 2015-2019</w:t>
      </w:r>
      <w:r w:rsidR="00DC05A4" w:rsidRPr="001A2B37">
        <w:rPr>
          <w:rFonts w:eastAsia="Calibri"/>
          <w:i w:val="0"/>
          <w:lang w:val="nl-BE" w:eastAsia="en-US"/>
        </w:rPr>
        <w:t xml:space="preserve">, </w:t>
      </w:r>
      <w:r w:rsidRPr="001A2B37">
        <w:rPr>
          <w:rFonts w:eastAsia="Calibri"/>
          <w:i w:val="0"/>
          <w:lang w:val="nl-BE" w:eastAsia="en-US"/>
        </w:rPr>
        <w:t xml:space="preserve">is zeer klein. </w:t>
      </w:r>
      <w:r w:rsidR="00A237A2" w:rsidRPr="001A2B37">
        <w:rPr>
          <w:rFonts w:eastAsia="Calibri"/>
          <w:i w:val="0"/>
          <w:lang w:val="nl-BE" w:eastAsia="en-US"/>
        </w:rPr>
        <w:t>H</w:t>
      </w:r>
      <w:r w:rsidRPr="001A2B37">
        <w:rPr>
          <w:rFonts w:eastAsia="Calibri"/>
          <w:i w:val="0"/>
          <w:lang w:val="nl-BE" w:eastAsia="en-US"/>
        </w:rPr>
        <w:t xml:space="preserve">ierbij </w:t>
      </w:r>
      <w:r w:rsidR="00DC05A4" w:rsidRPr="001A2B37">
        <w:rPr>
          <w:rFonts w:eastAsia="Calibri"/>
          <w:i w:val="0"/>
          <w:lang w:val="nl-BE" w:eastAsia="en-US"/>
        </w:rPr>
        <w:t>moeten we opmerken</w:t>
      </w:r>
      <w:r w:rsidRPr="001A2B37">
        <w:rPr>
          <w:rFonts w:eastAsia="Calibri"/>
          <w:i w:val="0"/>
          <w:lang w:val="nl-BE" w:eastAsia="en-US"/>
        </w:rPr>
        <w:t xml:space="preserve"> dat </w:t>
      </w:r>
      <w:r w:rsidR="00DC05A4" w:rsidRPr="001A2B37">
        <w:rPr>
          <w:rFonts w:eastAsia="Calibri"/>
          <w:i w:val="0"/>
          <w:lang w:val="nl-BE" w:eastAsia="en-US"/>
        </w:rPr>
        <w:t xml:space="preserve">in deze cijfers geen rekening wordt gehouden met </w:t>
      </w:r>
      <w:r w:rsidRPr="001A2B37">
        <w:rPr>
          <w:rFonts w:eastAsia="Calibri"/>
          <w:i w:val="0"/>
          <w:lang w:val="nl-BE" w:eastAsia="en-US"/>
        </w:rPr>
        <w:t xml:space="preserve">indirecte invoer in België vanuit Brazilië via andere lidstaten </w:t>
      </w:r>
      <w:r w:rsidR="00DC05A4" w:rsidRPr="001A2B37">
        <w:rPr>
          <w:rFonts w:eastAsia="Calibri"/>
          <w:i w:val="0"/>
          <w:lang w:val="nl-BE" w:eastAsia="en-US"/>
        </w:rPr>
        <w:t>(</w:t>
      </w:r>
      <w:r w:rsidRPr="001A2B37">
        <w:rPr>
          <w:rFonts w:eastAsia="Calibri"/>
          <w:i w:val="0"/>
          <w:lang w:val="nl-BE" w:eastAsia="en-US"/>
        </w:rPr>
        <w:t>zoals Nederland</w:t>
      </w:r>
      <w:r w:rsidR="00DC05A4" w:rsidRPr="001A2B37">
        <w:rPr>
          <w:rFonts w:eastAsia="Calibri"/>
          <w:i w:val="0"/>
          <w:lang w:val="nl-BE" w:eastAsia="en-US"/>
        </w:rPr>
        <w:t>)</w:t>
      </w:r>
      <w:r w:rsidRPr="001A2B37">
        <w:rPr>
          <w:rFonts w:eastAsia="Calibri"/>
          <w:i w:val="0"/>
          <w:lang w:val="nl-BE" w:eastAsia="en-US"/>
        </w:rPr>
        <w:t xml:space="preserve">. </w:t>
      </w:r>
      <w:r w:rsidR="0074723D" w:rsidRPr="001A2B37">
        <w:rPr>
          <w:rFonts w:eastAsia="Calibri"/>
          <w:i w:val="0"/>
          <w:lang w:val="nl-BE" w:eastAsia="en-US"/>
        </w:rPr>
        <w:t>Tabel 1 geeft</w:t>
      </w:r>
      <w:r w:rsidR="00E135F1" w:rsidRPr="001A2B37">
        <w:rPr>
          <w:rFonts w:eastAsia="Calibri"/>
          <w:i w:val="0"/>
          <w:lang w:val="nl-BE" w:eastAsia="en-US"/>
        </w:rPr>
        <w:t xml:space="preserve"> een overzicht </w:t>
      </w:r>
      <w:r w:rsidR="00D51D1B" w:rsidRPr="001A2B37">
        <w:rPr>
          <w:rFonts w:eastAsia="Calibri"/>
          <w:i w:val="0"/>
          <w:lang w:val="nl-BE" w:eastAsia="en-US"/>
        </w:rPr>
        <w:t>voor de periode 2015-2019.</w:t>
      </w:r>
      <w:r w:rsidR="00A237A2" w:rsidRPr="001A2B37">
        <w:rPr>
          <w:rFonts w:eastAsia="Calibri"/>
          <w:i w:val="0"/>
          <w:lang w:val="nl-BE" w:eastAsia="en-US"/>
        </w:rPr>
        <w:t xml:space="preserve"> Gegevens voor 2020 zijn nog niet beschikbaar.</w:t>
      </w:r>
    </w:p>
    <w:p w14:paraId="0A35BBC9" w14:textId="232F351D" w:rsidR="002A6F13" w:rsidRDefault="002A6F13" w:rsidP="00D04C8A">
      <w:pPr>
        <w:pStyle w:val="StijlStandaardSVVerdana10ptCursiefLinks-175cm"/>
        <w:ind w:left="360"/>
        <w:rPr>
          <w:rFonts w:eastAsia="Calibri"/>
          <w:i w:val="0"/>
          <w:lang w:val="nl-BE" w:eastAsia="en-US"/>
        </w:rPr>
      </w:pPr>
    </w:p>
    <w:p w14:paraId="3A6C616E" w14:textId="64EE46B0" w:rsidR="00E135F1" w:rsidRPr="00A237A2" w:rsidRDefault="0043008C" w:rsidP="00A237A2">
      <w:pPr>
        <w:pStyle w:val="StijlStandaardSVVerdana10ptCursiefLinks-175cm"/>
        <w:ind w:left="284"/>
        <w:rPr>
          <w:rFonts w:eastAsia="Calibri"/>
          <w:b/>
          <w:i w:val="0"/>
          <w:lang w:val="nl-BE" w:eastAsia="en-US"/>
        </w:rPr>
      </w:pPr>
      <w:r w:rsidRPr="00E135F1">
        <w:rPr>
          <w:rFonts w:eastAsia="Calibri"/>
          <w:b/>
          <w:i w:val="0"/>
          <w:lang w:val="nl-BE" w:eastAsia="en-US"/>
        </w:rPr>
        <w:t>Tabel 1</w:t>
      </w:r>
      <w:r w:rsidR="00B119DF" w:rsidRPr="00E135F1">
        <w:rPr>
          <w:rFonts w:eastAsia="Calibri"/>
          <w:b/>
          <w:i w:val="0"/>
          <w:lang w:val="nl-BE" w:eastAsia="en-US"/>
        </w:rPr>
        <w:t>.</w:t>
      </w:r>
      <w:r w:rsidRPr="00E135F1">
        <w:rPr>
          <w:rFonts w:eastAsia="Calibri"/>
          <w:b/>
          <w:i w:val="0"/>
          <w:lang w:val="nl-BE" w:eastAsia="en-US"/>
        </w:rPr>
        <w:t xml:space="preserve"> Export van sojaproducten vanuit Brazilië in periode 2015-2019</w:t>
      </w:r>
    </w:p>
    <w:tbl>
      <w:tblPr>
        <w:tblStyle w:val="Tabelraster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92"/>
        <w:gridCol w:w="1418"/>
        <w:gridCol w:w="1276"/>
        <w:gridCol w:w="1275"/>
        <w:gridCol w:w="1276"/>
        <w:gridCol w:w="1262"/>
        <w:gridCol w:w="1573"/>
      </w:tblGrid>
      <w:tr w:rsidR="00E24B20" w:rsidRPr="00E24B20" w14:paraId="06FF60D0" w14:textId="77777777" w:rsidTr="005E3980">
        <w:tc>
          <w:tcPr>
            <w:tcW w:w="992" w:type="dxa"/>
          </w:tcPr>
          <w:p w14:paraId="474AA2CC" w14:textId="4CF7949C" w:rsidR="00272CBE" w:rsidRPr="00A237A2" w:rsidRDefault="00272CBE" w:rsidP="00A237A2">
            <w:pPr>
              <w:pStyle w:val="StijlStandaardSVVerdana10ptCursiefLinks-175cm"/>
              <w:rPr>
                <w:i w:val="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5543684" w14:textId="1489F852" w:rsidR="00272CBE" w:rsidRPr="00A237A2" w:rsidRDefault="005E3980" w:rsidP="005E3980">
            <w:pPr>
              <w:pStyle w:val="StijlStandaardSVVerdana10ptCursiefLinks-175cm"/>
              <w:ind w:left="57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Rechtstreekse </w:t>
            </w:r>
            <w:r w:rsidR="00A237A2">
              <w:rPr>
                <w:i w:val="0"/>
                <w:sz w:val="16"/>
                <w:szCs w:val="16"/>
              </w:rPr>
              <w:t xml:space="preserve">Belgische invoer van </w:t>
            </w:r>
            <w:r>
              <w:rPr>
                <w:i w:val="0"/>
                <w:sz w:val="16"/>
                <w:szCs w:val="16"/>
              </w:rPr>
              <w:t>s</w:t>
            </w:r>
            <w:r w:rsidR="00272CBE" w:rsidRPr="00A237A2">
              <w:rPr>
                <w:i w:val="0"/>
                <w:sz w:val="16"/>
                <w:szCs w:val="16"/>
              </w:rPr>
              <w:t>ojaschroo</w:t>
            </w:r>
            <w:r w:rsidR="00A237A2" w:rsidRPr="00A237A2">
              <w:rPr>
                <w:i w:val="0"/>
                <w:sz w:val="16"/>
                <w:szCs w:val="16"/>
              </w:rPr>
              <w:t xml:space="preserve">t </w:t>
            </w:r>
            <w:r w:rsidR="00A237A2">
              <w:rPr>
                <w:i w:val="0"/>
                <w:sz w:val="16"/>
                <w:szCs w:val="16"/>
              </w:rPr>
              <w:t xml:space="preserve">vanuit Brazilië </w:t>
            </w:r>
            <w:r w:rsidR="00A237A2" w:rsidRPr="00A237A2">
              <w:rPr>
                <w:i w:val="0"/>
                <w:sz w:val="16"/>
                <w:szCs w:val="16"/>
              </w:rPr>
              <w:t>(x</w:t>
            </w:r>
            <w:r w:rsidR="00272CBE" w:rsidRPr="00A237A2">
              <w:rPr>
                <w:i w:val="0"/>
                <w:sz w:val="16"/>
                <w:szCs w:val="16"/>
              </w:rPr>
              <w:t>1000 ton)</w:t>
            </w:r>
          </w:p>
        </w:tc>
        <w:tc>
          <w:tcPr>
            <w:tcW w:w="1276" w:type="dxa"/>
          </w:tcPr>
          <w:p w14:paraId="5ABC2797" w14:textId="3C3B6099" w:rsidR="00272CBE" w:rsidRPr="00A237A2" w:rsidRDefault="00272CBE" w:rsidP="005E3980">
            <w:pPr>
              <w:pStyle w:val="StijlStandaardSVVerdana10ptCursiefLinks-175cm"/>
              <w:jc w:val="center"/>
              <w:rPr>
                <w:i w:val="0"/>
                <w:sz w:val="16"/>
                <w:szCs w:val="16"/>
                <w:lang w:val="nl-BE"/>
              </w:rPr>
            </w:pPr>
            <w:r w:rsidRPr="00A237A2">
              <w:rPr>
                <w:i w:val="0"/>
                <w:sz w:val="16"/>
                <w:szCs w:val="16"/>
                <w:lang w:val="nl-BE"/>
              </w:rPr>
              <w:t xml:space="preserve">Totale </w:t>
            </w:r>
            <w:r w:rsidR="00E24B20" w:rsidRPr="00A237A2">
              <w:rPr>
                <w:i w:val="0"/>
                <w:sz w:val="16"/>
                <w:szCs w:val="16"/>
                <w:lang w:val="nl-BE"/>
              </w:rPr>
              <w:t xml:space="preserve">Braziliaanse </w:t>
            </w:r>
            <w:r w:rsidRPr="00A237A2">
              <w:rPr>
                <w:i w:val="0"/>
                <w:sz w:val="16"/>
                <w:szCs w:val="16"/>
                <w:lang w:val="nl-BE"/>
              </w:rPr>
              <w:t xml:space="preserve">export </w:t>
            </w:r>
            <w:r w:rsidR="0043008C" w:rsidRPr="00A237A2">
              <w:rPr>
                <w:i w:val="0"/>
                <w:sz w:val="16"/>
                <w:szCs w:val="16"/>
                <w:lang w:val="nl-BE"/>
              </w:rPr>
              <w:t xml:space="preserve">sojaschroot </w:t>
            </w:r>
            <w:r w:rsidR="00A237A2" w:rsidRPr="00A237A2">
              <w:rPr>
                <w:i w:val="0"/>
                <w:sz w:val="16"/>
                <w:szCs w:val="16"/>
                <w:lang w:val="nl-BE"/>
              </w:rPr>
              <w:t>(x</w:t>
            </w:r>
            <w:r w:rsidRPr="00A237A2">
              <w:rPr>
                <w:i w:val="0"/>
                <w:sz w:val="16"/>
                <w:szCs w:val="16"/>
                <w:lang w:val="nl-BE"/>
              </w:rPr>
              <w:t>1000 ton)</w:t>
            </w:r>
          </w:p>
        </w:tc>
        <w:tc>
          <w:tcPr>
            <w:tcW w:w="1275" w:type="dxa"/>
          </w:tcPr>
          <w:p w14:paraId="7F47AA30" w14:textId="098AF6CF" w:rsidR="00272CBE" w:rsidRPr="005E3980" w:rsidRDefault="005E3980" w:rsidP="005E3980">
            <w:pPr>
              <w:pStyle w:val="StijlStandaardSVVerdana10ptCursiefLinks-175cm"/>
              <w:jc w:val="center"/>
              <w:rPr>
                <w:i w:val="0"/>
                <w:sz w:val="16"/>
                <w:szCs w:val="16"/>
                <w:lang w:val="nl-BE"/>
              </w:rPr>
            </w:pPr>
            <w:r w:rsidRPr="005E3980">
              <w:rPr>
                <w:i w:val="0"/>
                <w:sz w:val="16"/>
                <w:szCs w:val="16"/>
                <w:lang w:val="nl-BE"/>
              </w:rPr>
              <w:t>Procentueel aandeel België in t</w:t>
            </w:r>
            <w:r w:rsidR="00272CBE" w:rsidRPr="005E3980">
              <w:rPr>
                <w:i w:val="0"/>
                <w:sz w:val="16"/>
                <w:szCs w:val="16"/>
                <w:lang w:val="nl-BE"/>
              </w:rPr>
              <w:t xml:space="preserve">otale </w:t>
            </w:r>
            <w:r>
              <w:rPr>
                <w:i w:val="0"/>
                <w:sz w:val="16"/>
                <w:szCs w:val="16"/>
                <w:lang w:val="nl-BE"/>
              </w:rPr>
              <w:t xml:space="preserve">Braziliaanse </w:t>
            </w:r>
            <w:r w:rsidR="00272CBE" w:rsidRPr="005E3980">
              <w:rPr>
                <w:i w:val="0"/>
                <w:sz w:val="16"/>
                <w:szCs w:val="16"/>
                <w:lang w:val="nl-BE"/>
              </w:rPr>
              <w:t xml:space="preserve">export </w:t>
            </w:r>
            <w:r w:rsidR="0043008C" w:rsidRPr="005E3980">
              <w:rPr>
                <w:i w:val="0"/>
                <w:sz w:val="16"/>
                <w:szCs w:val="16"/>
                <w:lang w:val="nl-BE"/>
              </w:rPr>
              <w:t xml:space="preserve">sojaschroot </w:t>
            </w:r>
            <w:r w:rsidR="00272CBE" w:rsidRPr="005E3980">
              <w:rPr>
                <w:i w:val="0"/>
                <w:sz w:val="16"/>
                <w:szCs w:val="16"/>
                <w:lang w:val="nl-BE"/>
              </w:rPr>
              <w:t>(%)</w:t>
            </w:r>
          </w:p>
        </w:tc>
        <w:tc>
          <w:tcPr>
            <w:tcW w:w="1276" w:type="dxa"/>
          </w:tcPr>
          <w:p w14:paraId="7B58E793" w14:textId="5A2C8ACD" w:rsidR="00272CBE" w:rsidRPr="00A237A2" w:rsidRDefault="00E24B20" w:rsidP="005E3980">
            <w:pPr>
              <w:pStyle w:val="StijlStandaardSVVerdana10ptCursiefLinks-175cm"/>
              <w:jc w:val="center"/>
              <w:rPr>
                <w:i w:val="0"/>
                <w:sz w:val="16"/>
                <w:szCs w:val="16"/>
                <w:lang w:val="fr-BE"/>
              </w:rPr>
            </w:pPr>
            <w:proofErr w:type="spellStart"/>
            <w:r w:rsidRPr="00A237A2">
              <w:rPr>
                <w:i w:val="0"/>
                <w:sz w:val="16"/>
                <w:szCs w:val="16"/>
                <w:lang w:val="fr-BE"/>
              </w:rPr>
              <w:t>Sojabonen</w:t>
            </w:r>
            <w:proofErr w:type="spellEnd"/>
            <w:r w:rsidRPr="00A237A2">
              <w:rPr>
                <w:i w:val="0"/>
                <w:sz w:val="16"/>
                <w:szCs w:val="16"/>
                <w:lang w:val="fr-BE"/>
              </w:rPr>
              <w:t xml:space="preserve"> </w:t>
            </w:r>
            <w:r w:rsidR="00272CBE" w:rsidRPr="00A237A2">
              <w:rPr>
                <w:i w:val="0"/>
                <w:sz w:val="16"/>
                <w:szCs w:val="16"/>
                <w:lang w:val="fr-BE"/>
              </w:rPr>
              <w:t>(</w:t>
            </w:r>
            <w:r w:rsidR="005E3980">
              <w:rPr>
                <w:i w:val="0"/>
                <w:sz w:val="16"/>
                <w:szCs w:val="16"/>
                <w:lang w:val="fr-BE"/>
              </w:rPr>
              <w:t>x</w:t>
            </w:r>
            <w:r w:rsidR="00272CBE" w:rsidRPr="00A237A2">
              <w:rPr>
                <w:i w:val="0"/>
                <w:sz w:val="16"/>
                <w:szCs w:val="16"/>
                <w:lang w:val="fr-BE"/>
              </w:rPr>
              <w:t>1000 ton)</w:t>
            </w:r>
          </w:p>
        </w:tc>
        <w:tc>
          <w:tcPr>
            <w:tcW w:w="1262" w:type="dxa"/>
          </w:tcPr>
          <w:p w14:paraId="1CB8E139" w14:textId="3577BF1D" w:rsidR="00272CBE" w:rsidRPr="005E3980" w:rsidRDefault="005E3980" w:rsidP="005E3980">
            <w:pPr>
              <w:pStyle w:val="StijlStandaardSVVerdana10ptCursiefLinks-175cm"/>
              <w:jc w:val="center"/>
              <w:rPr>
                <w:i w:val="0"/>
                <w:sz w:val="16"/>
                <w:szCs w:val="16"/>
                <w:lang w:val="nl-BE"/>
              </w:rPr>
            </w:pPr>
            <w:r>
              <w:rPr>
                <w:i w:val="0"/>
                <w:sz w:val="16"/>
                <w:szCs w:val="16"/>
                <w:lang w:val="fr-BE"/>
              </w:rPr>
              <w:t>T</w:t>
            </w:r>
            <w:proofErr w:type="spellStart"/>
            <w:r w:rsidR="00272CBE" w:rsidRPr="005E3980">
              <w:rPr>
                <w:i w:val="0"/>
                <w:sz w:val="16"/>
                <w:szCs w:val="16"/>
                <w:lang w:val="nl-BE"/>
              </w:rPr>
              <w:t>otale</w:t>
            </w:r>
            <w:proofErr w:type="spellEnd"/>
            <w:r w:rsidR="00272CBE" w:rsidRPr="005E3980">
              <w:rPr>
                <w:i w:val="0"/>
                <w:sz w:val="16"/>
                <w:szCs w:val="16"/>
                <w:lang w:val="nl-BE"/>
              </w:rPr>
              <w:t xml:space="preserve"> </w:t>
            </w:r>
            <w:r w:rsidR="00E24B20" w:rsidRPr="005E3980">
              <w:rPr>
                <w:i w:val="0"/>
                <w:sz w:val="16"/>
                <w:szCs w:val="16"/>
                <w:lang w:val="nl-BE"/>
              </w:rPr>
              <w:t xml:space="preserve">Braziliaanse </w:t>
            </w:r>
            <w:r w:rsidR="00272CBE" w:rsidRPr="005E3980">
              <w:rPr>
                <w:i w:val="0"/>
                <w:sz w:val="16"/>
                <w:szCs w:val="16"/>
                <w:lang w:val="nl-BE"/>
              </w:rPr>
              <w:t xml:space="preserve">export </w:t>
            </w:r>
            <w:r w:rsidR="00E24B20" w:rsidRPr="005E3980">
              <w:rPr>
                <w:i w:val="0"/>
                <w:sz w:val="16"/>
                <w:szCs w:val="16"/>
                <w:lang w:val="nl-BE"/>
              </w:rPr>
              <w:t xml:space="preserve">sojabonen </w:t>
            </w:r>
            <w:r w:rsidRPr="005E3980">
              <w:rPr>
                <w:i w:val="0"/>
                <w:sz w:val="16"/>
                <w:szCs w:val="16"/>
                <w:lang w:val="nl-BE"/>
              </w:rPr>
              <w:t>(x</w:t>
            </w:r>
            <w:r w:rsidR="00272CBE" w:rsidRPr="005E3980">
              <w:rPr>
                <w:i w:val="0"/>
                <w:sz w:val="16"/>
                <w:szCs w:val="16"/>
                <w:lang w:val="nl-BE"/>
              </w:rPr>
              <w:t>1000 ton)</w:t>
            </w:r>
          </w:p>
        </w:tc>
        <w:tc>
          <w:tcPr>
            <w:tcW w:w="1573" w:type="dxa"/>
          </w:tcPr>
          <w:p w14:paraId="7BA5140E" w14:textId="46186EF5" w:rsidR="00272CBE" w:rsidRPr="005E3980" w:rsidRDefault="005E3980" w:rsidP="005E3980">
            <w:pPr>
              <w:pStyle w:val="StijlStandaardSVVerdana10ptCursiefLinks-175cm"/>
              <w:jc w:val="center"/>
              <w:rPr>
                <w:i w:val="0"/>
                <w:sz w:val="16"/>
                <w:szCs w:val="16"/>
                <w:lang w:val="nl-BE"/>
              </w:rPr>
            </w:pPr>
            <w:r w:rsidRPr="005E3980">
              <w:rPr>
                <w:i w:val="0"/>
                <w:sz w:val="16"/>
                <w:szCs w:val="16"/>
                <w:lang w:val="nl-BE"/>
              </w:rPr>
              <w:t xml:space="preserve">Procentueel aandeel België in </w:t>
            </w:r>
            <w:r>
              <w:rPr>
                <w:i w:val="0"/>
                <w:sz w:val="16"/>
                <w:szCs w:val="16"/>
                <w:lang w:val="nl-BE"/>
              </w:rPr>
              <w:t>t</w:t>
            </w:r>
            <w:r w:rsidR="00272CBE" w:rsidRPr="005E3980">
              <w:rPr>
                <w:i w:val="0"/>
                <w:sz w:val="16"/>
                <w:szCs w:val="16"/>
                <w:lang w:val="nl-BE"/>
              </w:rPr>
              <w:t xml:space="preserve">otale </w:t>
            </w:r>
            <w:r w:rsidR="00E24B20" w:rsidRPr="005E3980">
              <w:rPr>
                <w:i w:val="0"/>
                <w:sz w:val="16"/>
                <w:szCs w:val="16"/>
                <w:lang w:val="nl-BE"/>
              </w:rPr>
              <w:t>Braziliaanse export sojabonen</w:t>
            </w:r>
            <w:r w:rsidR="00272CBE" w:rsidRPr="005E3980">
              <w:rPr>
                <w:i w:val="0"/>
                <w:sz w:val="16"/>
                <w:szCs w:val="16"/>
                <w:lang w:val="nl-BE"/>
              </w:rPr>
              <w:t>(%)</w:t>
            </w:r>
          </w:p>
        </w:tc>
      </w:tr>
      <w:tr w:rsidR="00E24B20" w:rsidRPr="00E24B20" w14:paraId="3F426A62" w14:textId="77777777" w:rsidTr="005E3980">
        <w:tc>
          <w:tcPr>
            <w:tcW w:w="992" w:type="dxa"/>
          </w:tcPr>
          <w:p w14:paraId="0E31CBA1" w14:textId="6910295B" w:rsidR="00272CBE" w:rsidRPr="00D04C8A" w:rsidRDefault="00272CBE" w:rsidP="005E3980">
            <w:pPr>
              <w:pStyle w:val="StijlStandaardSVVerdana10ptCursiefLinks-175cm"/>
              <w:jc w:val="center"/>
              <w:rPr>
                <w:i w:val="0"/>
                <w:lang w:val="fr-BE"/>
              </w:rPr>
            </w:pPr>
            <w:r w:rsidRPr="00D04C8A">
              <w:rPr>
                <w:i w:val="0"/>
                <w:lang w:val="fr-BE"/>
              </w:rPr>
              <w:t>2015</w:t>
            </w:r>
          </w:p>
        </w:tc>
        <w:tc>
          <w:tcPr>
            <w:tcW w:w="1418" w:type="dxa"/>
          </w:tcPr>
          <w:p w14:paraId="275D9E94" w14:textId="28B72F83" w:rsidR="00272CBE" w:rsidRPr="00B119DF" w:rsidRDefault="00272CBE" w:rsidP="005E3980">
            <w:pPr>
              <w:pStyle w:val="StijlStandaardSVVerdana10ptCursiefLinks-175cm"/>
              <w:jc w:val="center"/>
              <w:rPr>
                <w:i w:val="0"/>
                <w:lang w:val="fr-BE"/>
              </w:rPr>
            </w:pPr>
            <w:r w:rsidRPr="00B119DF">
              <w:rPr>
                <w:i w:val="0"/>
                <w:lang w:val="fr-BE"/>
              </w:rPr>
              <w:t>99</w:t>
            </w:r>
          </w:p>
        </w:tc>
        <w:tc>
          <w:tcPr>
            <w:tcW w:w="1276" w:type="dxa"/>
          </w:tcPr>
          <w:p w14:paraId="4D996B5B" w14:textId="65BAEF06" w:rsidR="00272CBE" w:rsidRPr="00B119DF" w:rsidRDefault="0043008C" w:rsidP="005E3980">
            <w:pPr>
              <w:pStyle w:val="StijlStandaardSVVerdana10ptCursiefLinks-175cm"/>
              <w:jc w:val="center"/>
              <w:rPr>
                <w:i w:val="0"/>
                <w:lang w:val="fr-BE"/>
              </w:rPr>
            </w:pPr>
            <w:r w:rsidRPr="00B119DF">
              <w:rPr>
                <w:i w:val="0"/>
                <w:lang w:val="fr-BE"/>
              </w:rPr>
              <w:t>14</w:t>
            </w:r>
            <w:r w:rsidR="00A237A2">
              <w:rPr>
                <w:i w:val="0"/>
                <w:lang w:val="fr-BE"/>
              </w:rPr>
              <w:t>.</w:t>
            </w:r>
            <w:r w:rsidRPr="00B119DF">
              <w:rPr>
                <w:i w:val="0"/>
                <w:lang w:val="fr-BE"/>
              </w:rPr>
              <w:t>827</w:t>
            </w:r>
          </w:p>
        </w:tc>
        <w:tc>
          <w:tcPr>
            <w:tcW w:w="1275" w:type="dxa"/>
          </w:tcPr>
          <w:p w14:paraId="11B868DD" w14:textId="345EFA66" w:rsidR="00272CBE" w:rsidRPr="00B119DF" w:rsidRDefault="0043008C" w:rsidP="005E3980">
            <w:pPr>
              <w:pStyle w:val="StijlStandaardSVVerdana10ptCursiefLinks-175cm"/>
              <w:jc w:val="center"/>
              <w:rPr>
                <w:i w:val="0"/>
                <w:lang w:val="fr-BE"/>
              </w:rPr>
            </w:pPr>
            <w:r w:rsidRPr="00B119DF">
              <w:rPr>
                <w:i w:val="0"/>
                <w:lang w:val="fr-BE"/>
              </w:rPr>
              <w:t>0,67</w:t>
            </w:r>
          </w:p>
        </w:tc>
        <w:tc>
          <w:tcPr>
            <w:tcW w:w="1276" w:type="dxa"/>
          </w:tcPr>
          <w:p w14:paraId="6A9BA1DA" w14:textId="6B13FA74" w:rsidR="00272CBE" w:rsidRPr="00B119DF" w:rsidRDefault="0043008C" w:rsidP="005E3980">
            <w:pPr>
              <w:pStyle w:val="StijlStandaardSVVerdana10ptCursiefLinks-175cm"/>
              <w:jc w:val="center"/>
              <w:rPr>
                <w:i w:val="0"/>
                <w:lang w:val="fr-BE"/>
              </w:rPr>
            </w:pPr>
            <w:r w:rsidRPr="00B119DF">
              <w:rPr>
                <w:i w:val="0"/>
                <w:lang w:val="fr-BE"/>
              </w:rPr>
              <w:t>-</w:t>
            </w:r>
          </w:p>
        </w:tc>
        <w:tc>
          <w:tcPr>
            <w:tcW w:w="1262" w:type="dxa"/>
          </w:tcPr>
          <w:p w14:paraId="6F9D118B" w14:textId="484E35C8" w:rsidR="00272CBE" w:rsidRPr="00B119DF" w:rsidRDefault="0043008C" w:rsidP="005E3980">
            <w:pPr>
              <w:pStyle w:val="StijlStandaardSVVerdana10ptCursiefLinks-175cm"/>
              <w:jc w:val="center"/>
              <w:rPr>
                <w:i w:val="0"/>
                <w:lang w:val="fr-BE"/>
              </w:rPr>
            </w:pPr>
            <w:r w:rsidRPr="00B119DF">
              <w:rPr>
                <w:i w:val="0"/>
                <w:lang w:val="fr-BE"/>
              </w:rPr>
              <w:t>54</w:t>
            </w:r>
            <w:r w:rsidR="00A237A2">
              <w:rPr>
                <w:i w:val="0"/>
                <w:lang w:val="fr-BE"/>
              </w:rPr>
              <w:t>.</w:t>
            </w:r>
            <w:r w:rsidRPr="00B119DF">
              <w:rPr>
                <w:i w:val="0"/>
                <w:lang w:val="fr-BE"/>
              </w:rPr>
              <w:t>324</w:t>
            </w:r>
          </w:p>
        </w:tc>
        <w:tc>
          <w:tcPr>
            <w:tcW w:w="1573" w:type="dxa"/>
          </w:tcPr>
          <w:p w14:paraId="77B6EA2B" w14:textId="787C365D" w:rsidR="00272CBE" w:rsidRPr="00B119DF" w:rsidRDefault="0043008C" w:rsidP="005E3980">
            <w:pPr>
              <w:pStyle w:val="StijlStandaardSVVerdana10ptCursiefLinks-175cm"/>
              <w:jc w:val="center"/>
              <w:rPr>
                <w:i w:val="0"/>
                <w:lang w:val="fr-BE"/>
              </w:rPr>
            </w:pPr>
            <w:r w:rsidRPr="00B119DF">
              <w:rPr>
                <w:i w:val="0"/>
                <w:lang w:val="fr-BE"/>
              </w:rPr>
              <w:t>-</w:t>
            </w:r>
          </w:p>
        </w:tc>
      </w:tr>
      <w:tr w:rsidR="00E24B20" w:rsidRPr="00E24B20" w14:paraId="558A8048" w14:textId="77777777" w:rsidTr="005E3980">
        <w:tc>
          <w:tcPr>
            <w:tcW w:w="992" w:type="dxa"/>
          </w:tcPr>
          <w:p w14:paraId="71F807B1" w14:textId="2BDBFED4" w:rsidR="00272CBE" w:rsidRPr="00D04C8A" w:rsidRDefault="00272CBE" w:rsidP="005E3980">
            <w:pPr>
              <w:pStyle w:val="StijlStandaardSVVerdana10ptCursiefLinks-175cm"/>
              <w:jc w:val="center"/>
              <w:rPr>
                <w:i w:val="0"/>
                <w:lang w:val="fr-BE"/>
              </w:rPr>
            </w:pPr>
            <w:r w:rsidRPr="00D04C8A">
              <w:rPr>
                <w:i w:val="0"/>
                <w:lang w:val="fr-BE"/>
              </w:rPr>
              <w:t>2016</w:t>
            </w:r>
          </w:p>
        </w:tc>
        <w:tc>
          <w:tcPr>
            <w:tcW w:w="1418" w:type="dxa"/>
          </w:tcPr>
          <w:p w14:paraId="534C0630" w14:textId="4181B7EA" w:rsidR="00272CBE" w:rsidRPr="00B119DF" w:rsidRDefault="00272CBE" w:rsidP="005E3980">
            <w:pPr>
              <w:pStyle w:val="StijlStandaardSVVerdana10ptCursiefLinks-175cm"/>
              <w:jc w:val="center"/>
              <w:rPr>
                <w:i w:val="0"/>
                <w:lang w:val="fr-BE"/>
              </w:rPr>
            </w:pPr>
            <w:r w:rsidRPr="00B119DF">
              <w:rPr>
                <w:i w:val="0"/>
                <w:lang w:val="fr-BE"/>
              </w:rPr>
              <w:t>179</w:t>
            </w:r>
          </w:p>
        </w:tc>
        <w:tc>
          <w:tcPr>
            <w:tcW w:w="1276" w:type="dxa"/>
          </w:tcPr>
          <w:p w14:paraId="26964711" w14:textId="158AC666" w:rsidR="00272CBE" w:rsidRPr="00B119DF" w:rsidRDefault="0043008C" w:rsidP="005E3980">
            <w:pPr>
              <w:pStyle w:val="StijlStandaardSVVerdana10ptCursiefLinks-175cm"/>
              <w:jc w:val="center"/>
              <w:rPr>
                <w:i w:val="0"/>
                <w:lang w:val="fr-BE"/>
              </w:rPr>
            </w:pPr>
            <w:r w:rsidRPr="00B119DF">
              <w:rPr>
                <w:i w:val="0"/>
                <w:lang w:val="fr-BE"/>
              </w:rPr>
              <w:t>14</w:t>
            </w:r>
            <w:r w:rsidR="00A237A2">
              <w:rPr>
                <w:i w:val="0"/>
                <w:lang w:val="fr-BE"/>
              </w:rPr>
              <w:t>.</w:t>
            </w:r>
            <w:r w:rsidRPr="00B119DF">
              <w:rPr>
                <w:i w:val="0"/>
                <w:lang w:val="fr-BE"/>
              </w:rPr>
              <w:t>444</w:t>
            </w:r>
          </w:p>
        </w:tc>
        <w:tc>
          <w:tcPr>
            <w:tcW w:w="1275" w:type="dxa"/>
          </w:tcPr>
          <w:p w14:paraId="6E3112AB" w14:textId="7A57937C" w:rsidR="00272CBE" w:rsidRPr="00B119DF" w:rsidRDefault="0043008C" w:rsidP="005E3980">
            <w:pPr>
              <w:pStyle w:val="StijlStandaardSVVerdana10ptCursiefLinks-175cm"/>
              <w:jc w:val="center"/>
              <w:rPr>
                <w:i w:val="0"/>
                <w:lang w:val="fr-BE"/>
              </w:rPr>
            </w:pPr>
            <w:r w:rsidRPr="00B119DF">
              <w:rPr>
                <w:i w:val="0"/>
                <w:lang w:val="fr-BE"/>
              </w:rPr>
              <w:t>1,24</w:t>
            </w:r>
          </w:p>
        </w:tc>
        <w:tc>
          <w:tcPr>
            <w:tcW w:w="1276" w:type="dxa"/>
          </w:tcPr>
          <w:p w14:paraId="6BA60C80" w14:textId="15A033CE" w:rsidR="00272CBE" w:rsidRPr="00B119DF" w:rsidRDefault="0043008C" w:rsidP="005E3980">
            <w:pPr>
              <w:pStyle w:val="StijlStandaardSVVerdana10ptCursiefLinks-175cm"/>
              <w:jc w:val="center"/>
              <w:rPr>
                <w:i w:val="0"/>
                <w:lang w:val="fr-BE"/>
              </w:rPr>
            </w:pPr>
            <w:r w:rsidRPr="00B119DF">
              <w:rPr>
                <w:i w:val="0"/>
                <w:lang w:val="fr-BE"/>
              </w:rPr>
              <w:t>57</w:t>
            </w:r>
          </w:p>
        </w:tc>
        <w:tc>
          <w:tcPr>
            <w:tcW w:w="1262" w:type="dxa"/>
          </w:tcPr>
          <w:p w14:paraId="5C3A775F" w14:textId="07404AEF" w:rsidR="00272CBE" w:rsidRPr="00B119DF" w:rsidRDefault="0043008C" w:rsidP="005E3980">
            <w:pPr>
              <w:pStyle w:val="StijlStandaardSVVerdana10ptCursiefLinks-175cm"/>
              <w:jc w:val="center"/>
              <w:rPr>
                <w:i w:val="0"/>
                <w:lang w:val="fr-BE"/>
              </w:rPr>
            </w:pPr>
            <w:r w:rsidRPr="00B119DF">
              <w:rPr>
                <w:i w:val="0"/>
                <w:lang w:val="fr-BE"/>
              </w:rPr>
              <w:t>51</w:t>
            </w:r>
            <w:r w:rsidR="00A237A2">
              <w:rPr>
                <w:i w:val="0"/>
                <w:lang w:val="fr-BE"/>
              </w:rPr>
              <w:t>.</w:t>
            </w:r>
            <w:r w:rsidRPr="00B119DF">
              <w:rPr>
                <w:i w:val="0"/>
                <w:lang w:val="fr-BE"/>
              </w:rPr>
              <w:t>582</w:t>
            </w:r>
          </w:p>
        </w:tc>
        <w:tc>
          <w:tcPr>
            <w:tcW w:w="1573" w:type="dxa"/>
          </w:tcPr>
          <w:p w14:paraId="4A024E81" w14:textId="7A984004" w:rsidR="00272CBE" w:rsidRPr="00B119DF" w:rsidRDefault="0043008C" w:rsidP="005E3980">
            <w:pPr>
              <w:pStyle w:val="StijlStandaardSVVerdana10ptCursiefLinks-175cm"/>
              <w:jc w:val="center"/>
              <w:rPr>
                <w:i w:val="0"/>
                <w:lang w:val="fr-BE"/>
              </w:rPr>
            </w:pPr>
            <w:r w:rsidRPr="00B119DF">
              <w:rPr>
                <w:i w:val="0"/>
                <w:lang w:val="fr-BE"/>
              </w:rPr>
              <w:t>0,11</w:t>
            </w:r>
          </w:p>
        </w:tc>
      </w:tr>
      <w:tr w:rsidR="00E24B20" w:rsidRPr="00E24B20" w14:paraId="59946D51" w14:textId="77777777" w:rsidTr="005E3980">
        <w:tc>
          <w:tcPr>
            <w:tcW w:w="992" w:type="dxa"/>
          </w:tcPr>
          <w:p w14:paraId="3D6826B1" w14:textId="2272779B" w:rsidR="00272CBE" w:rsidRPr="00D04C8A" w:rsidRDefault="00272CBE" w:rsidP="005E3980">
            <w:pPr>
              <w:pStyle w:val="StijlStandaardSVVerdana10ptCursiefLinks-175cm"/>
              <w:jc w:val="center"/>
              <w:rPr>
                <w:i w:val="0"/>
                <w:lang w:val="fr-BE"/>
              </w:rPr>
            </w:pPr>
            <w:r w:rsidRPr="00D04C8A">
              <w:rPr>
                <w:i w:val="0"/>
                <w:lang w:val="fr-BE"/>
              </w:rPr>
              <w:t>2017</w:t>
            </w:r>
          </w:p>
        </w:tc>
        <w:tc>
          <w:tcPr>
            <w:tcW w:w="1418" w:type="dxa"/>
          </w:tcPr>
          <w:p w14:paraId="5FA13AA7" w14:textId="2E515FA5" w:rsidR="00272CBE" w:rsidRPr="00B119DF" w:rsidRDefault="00272CBE" w:rsidP="005E3980">
            <w:pPr>
              <w:pStyle w:val="StijlStandaardSVVerdana10ptCursiefLinks-175cm"/>
              <w:jc w:val="center"/>
              <w:rPr>
                <w:i w:val="0"/>
                <w:lang w:val="fr-BE"/>
              </w:rPr>
            </w:pPr>
            <w:r w:rsidRPr="00B119DF">
              <w:rPr>
                <w:i w:val="0"/>
                <w:lang w:val="fr-BE"/>
              </w:rPr>
              <w:t>151</w:t>
            </w:r>
          </w:p>
        </w:tc>
        <w:tc>
          <w:tcPr>
            <w:tcW w:w="1276" w:type="dxa"/>
          </w:tcPr>
          <w:p w14:paraId="4753F727" w14:textId="7FBB7C92" w:rsidR="00272CBE" w:rsidRPr="00B119DF" w:rsidRDefault="0043008C" w:rsidP="005E3980">
            <w:pPr>
              <w:pStyle w:val="StijlStandaardSVVerdana10ptCursiefLinks-175cm"/>
              <w:jc w:val="center"/>
              <w:rPr>
                <w:i w:val="0"/>
                <w:lang w:val="fr-BE"/>
              </w:rPr>
            </w:pPr>
            <w:r w:rsidRPr="00B119DF">
              <w:rPr>
                <w:i w:val="0"/>
                <w:lang w:val="fr-BE"/>
              </w:rPr>
              <w:t>14</w:t>
            </w:r>
            <w:r w:rsidR="00A237A2">
              <w:rPr>
                <w:i w:val="0"/>
                <w:lang w:val="fr-BE"/>
              </w:rPr>
              <w:t>.</w:t>
            </w:r>
            <w:r w:rsidRPr="00B119DF">
              <w:rPr>
                <w:i w:val="0"/>
                <w:lang w:val="fr-BE"/>
              </w:rPr>
              <w:t>177</w:t>
            </w:r>
          </w:p>
        </w:tc>
        <w:tc>
          <w:tcPr>
            <w:tcW w:w="1275" w:type="dxa"/>
          </w:tcPr>
          <w:p w14:paraId="7B3D6EE0" w14:textId="1CA90AF2" w:rsidR="00272CBE" w:rsidRPr="00B119DF" w:rsidRDefault="0043008C" w:rsidP="005E3980">
            <w:pPr>
              <w:pStyle w:val="StijlStandaardSVVerdana10ptCursiefLinks-175cm"/>
              <w:jc w:val="center"/>
              <w:rPr>
                <w:i w:val="0"/>
                <w:lang w:val="fr-BE"/>
              </w:rPr>
            </w:pPr>
            <w:r w:rsidRPr="00B119DF">
              <w:rPr>
                <w:i w:val="0"/>
                <w:lang w:val="fr-BE"/>
              </w:rPr>
              <w:t>1,06</w:t>
            </w:r>
          </w:p>
        </w:tc>
        <w:tc>
          <w:tcPr>
            <w:tcW w:w="1276" w:type="dxa"/>
          </w:tcPr>
          <w:p w14:paraId="7ED39429" w14:textId="503E824C" w:rsidR="00272CBE" w:rsidRPr="00B119DF" w:rsidRDefault="0043008C" w:rsidP="005E3980">
            <w:pPr>
              <w:pStyle w:val="StijlStandaardSVVerdana10ptCursiefLinks-175cm"/>
              <w:jc w:val="center"/>
              <w:rPr>
                <w:i w:val="0"/>
                <w:lang w:val="fr-BE"/>
              </w:rPr>
            </w:pPr>
            <w:r w:rsidRPr="00B119DF">
              <w:rPr>
                <w:i w:val="0"/>
                <w:lang w:val="fr-BE"/>
              </w:rPr>
              <w:t>-</w:t>
            </w:r>
          </w:p>
        </w:tc>
        <w:tc>
          <w:tcPr>
            <w:tcW w:w="1262" w:type="dxa"/>
          </w:tcPr>
          <w:p w14:paraId="15E7F4CA" w14:textId="7D581FE0" w:rsidR="00272CBE" w:rsidRPr="00B119DF" w:rsidRDefault="0043008C" w:rsidP="005E3980">
            <w:pPr>
              <w:pStyle w:val="StijlStandaardSVVerdana10ptCursiefLinks-175cm"/>
              <w:jc w:val="center"/>
              <w:rPr>
                <w:i w:val="0"/>
                <w:lang w:val="fr-BE"/>
              </w:rPr>
            </w:pPr>
            <w:r w:rsidRPr="00B119DF">
              <w:rPr>
                <w:i w:val="0"/>
                <w:lang w:val="fr-BE"/>
              </w:rPr>
              <w:t>68</w:t>
            </w:r>
            <w:r w:rsidR="00A237A2">
              <w:rPr>
                <w:i w:val="0"/>
                <w:lang w:val="fr-BE"/>
              </w:rPr>
              <w:t>.</w:t>
            </w:r>
            <w:r w:rsidRPr="00B119DF">
              <w:rPr>
                <w:i w:val="0"/>
                <w:lang w:val="fr-BE"/>
              </w:rPr>
              <w:t>155</w:t>
            </w:r>
          </w:p>
        </w:tc>
        <w:tc>
          <w:tcPr>
            <w:tcW w:w="1573" w:type="dxa"/>
          </w:tcPr>
          <w:p w14:paraId="7EA6A1A7" w14:textId="091988D6" w:rsidR="00272CBE" w:rsidRPr="00B119DF" w:rsidRDefault="0043008C" w:rsidP="005E3980">
            <w:pPr>
              <w:pStyle w:val="StijlStandaardSVVerdana10ptCursiefLinks-175cm"/>
              <w:jc w:val="center"/>
              <w:rPr>
                <w:i w:val="0"/>
                <w:lang w:val="fr-BE"/>
              </w:rPr>
            </w:pPr>
            <w:r w:rsidRPr="00B119DF">
              <w:rPr>
                <w:i w:val="0"/>
                <w:lang w:val="fr-BE"/>
              </w:rPr>
              <w:t>-</w:t>
            </w:r>
          </w:p>
        </w:tc>
      </w:tr>
      <w:tr w:rsidR="00E24B20" w:rsidRPr="00E24B20" w14:paraId="5E22045E" w14:textId="77777777" w:rsidTr="005E3980">
        <w:tc>
          <w:tcPr>
            <w:tcW w:w="992" w:type="dxa"/>
          </w:tcPr>
          <w:p w14:paraId="2E329AC3" w14:textId="68F15FBA" w:rsidR="00272CBE" w:rsidRPr="00D04C8A" w:rsidRDefault="00272CBE" w:rsidP="005E3980">
            <w:pPr>
              <w:pStyle w:val="StijlStandaardSVVerdana10ptCursiefLinks-175cm"/>
              <w:jc w:val="center"/>
              <w:rPr>
                <w:i w:val="0"/>
                <w:lang w:val="fr-BE"/>
              </w:rPr>
            </w:pPr>
            <w:r w:rsidRPr="00D04C8A">
              <w:rPr>
                <w:i w:val="0"/>
                <w:lang w:val="fr-BE"/>
              </w:rPr>
              <w:t>2018</w:t>
            </w:r>
          </w:p>
        </w:tc>
        <w:tc>
          <w:tcPr>
            <w:tcW w:w="1418" w:type="dxa"/>
          </w:tcPr>
          <w:p w14:paraId="6667F89D" w14:textId="5DC68709" w:rsidR="00272CBE" w:rsidRPr="00B119DF" w:rsidRDefault="00272CBE" w:rsidP="005E3980">
            <w:pPr>
              <w:pStyle w:val="StijlStandaardSVVerdana10ptCursiefLinks-175cm"/>
              <w:jc w:val="center"/>
              <w:rPr>
                <w:i w:val="0"/>
                <w:lang w:val="fr-BE"/>
              </w:rPr>
            </w:pPr>
            <w:r w:rsidRPr="00B119DF">
              <w:rPr>
                <w:i w:val="0"/>
                <w:lang w:val="fr-BE"/>
              </w:rPr>
              <w:t>71</w:t>
            </w:r>
          </w:p>
        </w:tc>
        <w:tc>
          <w:tcPr>
            <w:tcW w:w="1276" w:type="dxa"/>
          </w:tcPr>
          <w:p w14:paraId="3DB98DB4" w14:textId="2F9F11FE" w:rsidR="00272CBE" w:rsidRPr="00B119DF" w:rsidRDefault="0043008C" w:rsidP="005E3980">
            <w:pPr>
              <w:pStyle w:val="StijlStandaardSVVerdana10ptCursiefLinks-175cm"/>
              <w:jc w:val="center"/>
              <w:rPr>
                <w:i w:val="0"/>
                <w:lang w:val="fr-BE"/>
              </w:rPr>
            </w:pPr>
            <w:r w:rsidRPr="00B119DF">
              <w:rPr>
                <w:i w:val="0"/>
                <w:lang w:val="fr-BE"/>
              </w:rPr>
              <w:t>16</w:t>
            </w:r>
            <w:r w:rsidR="00A237A2">
              <w:rPr>
                <w:i w:val="0"/>
                <w:lang w:val="fr-BE"/>
              </w:rPr>
              <w:t>.</w:t>
            </w:r>
            <w:r w:rsidRPr="00B119DF">
              <w:rPr>
                <w:i w:val="0"/>
                <w:lang w:val="fr-BE"/>
              </w:rPr>
              <w:t>862</w:t>
            </w:r>
          </w:p>
        </w:tc>
        <w:tc>
          <w:tcPr>
            <w:tcW w:w="1275" w:type="dxa"/>
          </w:tcPr>
          <w:p w14:paraId="127E1719" w14:textId="38F7C126" w:rsidR="00272CBE" w:rsidRPr="00B119DF" w:rsidRDefault="0043008C" w:rsidP="005E3980">
            <w:pPr>
              <w:pStyle w:val="StijlStandaardSVVerdana10ptCursiefLinks-175cm"/>
              <w:jc w:val="center"/>
              <w:rPr>
                <w:i w:val="0"/>
                <w:lang w:val="fr-BE"/>
              </w:rPr>
            </w:pPr>
            <w:r w:rsidRPr="00B119DF">
              <w:rPr>
                <w:i w:val="0"/>
                <w:lang w:val="fr-BE"/>
              </w:rPr>
              <w:t>0,42</w:t>
            </w:r>
          </w:p>
        </w:tc>
        <w:tc>
          <w:tcPr>
            <w:tcW w:w="1276" w:type="dxa"/>
          </w:tcPr>
          <w:p w14:paraId="0A48D25B" w14:textId="7D7EA0C3" w:rsidR="00272CBE" w:rsidRPr="00B119DF" w:rsidRDefault="0043008C" w:rsidP="005E3980">
            <w:pPr>
              <w:pStyle w:val="StijlStandaardSVVerdana10ptCursiefLinks-175cm"/>
              <w:jc w:val="center"/>
              <w:rPr>
                <w:i w:val="0"/>
                <w:lang w:val="fr-BE"/>
              </w:rPr>
            </w:pPr>
            <w:r w:rsidRPr="00B119DF">
              <w:rPr>
                <w:i w:val="0"/>
                <w:lang w:val="fr-BE"/>
              </w:rPr>
              <w:t>225</w:t>
            </w:r>
          </w:p>
        </w:tc>
        <w:tc>
          <w:tcPr>
            <w:tcW w:w="1262" w:type="dxa"/>
          </w:tcPr>
          <w:p w14:paraId="26BAB059" w14:textId="36C081A4" w:rsidR="00272CBE" w:rsidRPr="00B119DF" w:rsidRDefault="0043008C" w:rsidP="005E3980">
            <w:pPr>
              <w:pStyle w:val="StijlStandaardSVVerdana10ptCursiefLinks-175cm"/>
              <w:jc w:val="center"/>
              <w:rPr>
                <w:i w:val="0"/>
                <w:lang w:val="fr-BE"/>
              </w:rPr>
            </w:pPr>
            <w:r w:rsidRPr="00B119DF">
              <w:rPr>
                <w:i w:val="0"/>
                <w:lang w:val="fr-BE"/>
              </w:rPr>
              <w:t>83</w:t>
            </w:r>
            <w:r w:rsidR="00A237A2">
              <w:rPr>
                <w:i w:val="0"/>
                <w:lang w:val="fr-BE"/>
              </w:rPr>
              <w:t>.</w:t>
            </w:r>
            <w:r w:rsidRPr="00B119DF">
              <w:rPr>
                <w:i w:val="0"/>
                <w:lang w:val="fr-BE"/>
              </w:rPr>
              <w:t>605</w:t>
            </w:r>
          </w:p>
        </w:tc>
        <w:tc>
          <w:tcPr>
            <w:tcW w:w="1573" w:type="dxa"/>
          </w:tcPr>
          <w:p w14:paraId="630BFE27" w14:textId="5D1106FD" w:rsidR="00272CBE" w:rsidRPr="00B119DF" w:rsidRDefault="0043008C" w:rsidP="005E3980">
            <w:pPr>
              <w:pStyle w:val="StijlStandaardSVVerdana10ptCursiefLinks-175cm"/>
              <w:jc w:val="center"/>
              <w:rPr>
                <w:i w:val="0"/>
                <w:lang w:val="fr-BE"/>
              </w:rPr>
            </w:pPr>
            <w:r w:rsidRPr="00B119DF">
              <w:rPr>
                <w:i w:val="0"/>
                <w:lang w:val="fr-BE"/>
              </w:rPr>
              <w:t>0,27</w:t>
            </w:r>
          </w:p>
        </w:tc>
      </w:tr>
      <w:tr w:rsidR="00E24B20" w:rsidRPr="00E24B20" w14:paraId="7BDC61B1" w14:textId="77777777" w:rsidTr="005E3980">
        <w:tc>
          <w:tcPr>
            <w:tcW w:w="992" w:type="dxa"/>
          </w:tcPr>
          <w:p w14:paraId="5A0E810F" w14:textId="283839D2" w:rsidR="00272CBE" w:rsidRPr="00D04C8A" w:rsidRDefault="00272CBE" w:rsidP="005E3980">
            <w:pPr>
              <w:pStyle w:val="StijlStandaardSVVerdana10ptCursiefLinks-175cm"/>
              <w:jc w:val="center"/>
              <w:rPr>
                <w:i w:val="0"/>
                <w:lang w:val="fr-BE"/>
              </w:rPr>
            </w:pPr>
            <w:r w:rsidRPr="00D04C8A">
              <w:rPr>
                <w:i w:val="0"/>
                <w:lang w:val="fr-BE"/>
              </w:rPr>
              <w:t>2019</w:t>
            </w:r>
          </w:p>
        </w:tc>
        <w:tc>
          <w:tcPr>
            <w:tcW w:w="1418" w:type="dxa"/>
          </w:tcPr>
          <w:p w14:paraId="797A0066" w14:textId="75D82689" w:rsidR="00272CBE" w:rsidRPr="00B119DF" w:rsidRDefault="00272CBE" w:rsidP="005E3980">
            <w:pPr>
              <w:pStyle w:val="StijlStandaardSVVerdana10ptCursiefLinks-175cm"/>
              <w:jc w:val="center"/>
              <w:rPr>
                <w:i w:val="0"/>
                <w:lang w:val="fr-BE"/>
              </w:rPr>
            </w:pPr>
            <w:r w:rsidRPr="00B119DF">
              <w:rPr>
                <w:i w:val="0"/>
                <w:lang w:val="fr-BE"/>
              </w:rPr>
              <w:t>91</w:t>
            </w:r>
          </w:p>
        </w:tc>
        <w:tc>
          <w:tcPr>
            <w:tcW w:w="1276" w:type="dxa"/>
          </w:tcPr>
          <w:p w14:paraId="586E5518" w14:textId="059E766D" w:rsidR="00272CBE" w:rsidRPr="00B119DF" w:rsidRDefault="0043008C" w:rsidP="005E3980">
            <w:pPr>
              <w:pStyle w:val="StijlStandaardSVVerdana10ptCursiefLinks-175cm"/>
              <w:jc w:val="center"/>
              <w:rPr>
                <w:i w:val="0"/>
                <w:lang w:val="fr-BE"/>
              </w:rPr>
            </w:pPr>
            <w:r w:rsidRPr="00B119DF">
              <w:rPr>
                <w:i w:val="0"/>
                <w:lang w:val="fr-BE"/>
              </w:rPr>
              <w:t>16</w:t>
            </w:r>
            <w:r w:rsidR="00A237A2">
              <w:rPr>
                <w:i w:val="0"/>
                <w:lang w:val="fr-BE"/>
              </w:rPr>
              <w:t>.</w:t>
            </w:r>
            <w:r w:rsidRPr="00B119DF">
              <w:rPr>
                <w:i w:val="0"/>
                <w:lang w:val="fr-BE"/>
              </w:rPr>
              <w:t>682</w:t>
            </w:r>
          </w:p>
        </w:tc>
        <w:tc>
          <w:tcPr>
            <w:tcW w:w="1275" w:type="dxa"/>
          </w:tcPr>
          <w:p w14:paraId="1BC3664B" w14:textId="51209C2B" w:rsidR="00272CBE" w:rsidRPr="00B119DF" w:rsidRDefault="0043008C" w:rsidP="005E3980">
            <w:pPr>
              <w:pStyle w:val="StijlStandaardSVVerdana10ptCursiefLinks-175cm"/>
              <w:jc w:val="center"/>
              <w:rPr>
                <w:i w:val="0"/>
                <w:lang w:val="fr-BE"/>
              </w:rPr>
            </w:pPr>
            <w:r w:rsidRPr="00B119DF">
              <w:rPr>
                <w:i w:val="0"/>
                <w:lang w:val="fr-BE"/>
              </w:rPr>
              <w:t>0,54</w:t>
            </w:r>
          </w:p>
        </w:tc>
        <w:tc>
          <w:tcPr>
            <w:tcW w:w="1276" w:type="dxa"/>
          </w:tcPr>
          <w:p w14:paraId="3238064A" w14:textId="1F982D14" w:rsidR="00272CBE" w:rsidRPr="00B119DF" w:rsidRDefault="0043008C" w:rsidP="005E3980">
            <w:pPr>
              <w:pStyle w:val="StijlStandaardSVVerdana10ptCursiefLinks-175cm"/>
              <w:jc w:val="center"/>
              <w:rPr>
                <w:i w:val="0"/>
                <w:lang w:val="fr-BE"/>
              </w:rPr>
            </w:pPr>
            <w:r w:rsidRPr="00B119DF">
              <w:rPr>
                <w:i w:val="0"/>
                <w:lang w:val="fr-BE"/>
              </w:rPr>
              <w:t>57</w:t>
            </w:r>
          </w:p>
        </w:tc>
        <w:tc>
          <w:tcPr>
            <w:tcW w:w="1262" w:type="dxa"/>
          </w:tcPr>
          <w:p w14:paraId="2A5623D2" w14:textId="5379C776" w:rsidR="00272CBE" w:rsidRPr="00B119DF" w:rsidRDefault="0043008C" w:rsidP="005E3980">
            <w:pPr>
              <w:pStyle w:val="StijlStandaardSVVerdana10ptCursiefLinks-175cm"/>
              <w:jc w:val="center"/>
              <w:rPr>
                <w:i w:val="0"/>
                <w:lang w:val="fr-BE"/>
              </w:rPr>
            </w:pPr>
            <w:r w:rsidRPr="00B119DF">
              <w:rPr>
                <w:i w:val="0"/>
                <w:lang w:val="fr-BE"/>
              </w:rPr>
              <w:t>74</w:t>
            </w:r>
            <w:r w:rsidR="00A237A2">
              <w:rPr>
                <w:i w:val="0"/>
                <w:lang w:val="fr-BE"/>
              </w:rPr>
              <w:t>.</w:t>
            </w:r>
            <w:r w:rsidRPr="00B119DF">
              <w:rPr>
                <w:i w:val="0"/>
                <w:lang w:val="fr-BE"/>
              </w:rPr>
              <w:t>073</w:t>
            </w:r>
          </w:p>
        </w:tc>
        <w:tc>
          <w:tcPr>
            <w:tcW w:w="1573" w:type="dxa"/>
          </w:tcPr>
          <w:p w14:paraId="45A8E816" w14:textId="0DAE8DC1" w:rsidR="00272CBE" w:rsidRPr="00B119DF" w:rsidRDefault="0043008C" w:rsidP="005E3980">
            <w:pPr>
              <w:pStyle w:val="StijlStandaardSVVerdana10ptCursiefLinks-175cm"/>
              <w:jc w:val="center"/>
              <w:rPr>
                <w:i w:val="0"/>
                <w:lang w:val="fr-BE"/>
              </w:rPr>
            </w:pPr>
            <w:r w:rsidRPr="00B119DF">
              <w:rPr>
                <w:i w:val="0"/>
                <w:lang w:val="fr-BE"/>
              </w:rPr>
              <w:t>0,07</w:t>
            </w:r>
          </w:p>
        </w:tc>
      </w:tr>
    </w:tbl>
    <w:p w14:paraId="0EB0556F" w14:textId="0AD29B0F" w:rsidR="00D51D1B" w:rsidRDefault="00B119DF" w:rsidP="00B119DF">
      <w:pPr>
        <w:pStyle w:val="StijlStandaardSVVerdana10ptCursiefLinks-175cm"/>
        <w:ind w:left="360"/>
        <w:rPr>
          <w:rFonts w:eastAsia="Calibri"/>
          <w:lang w:val="nl-BE" w:eastAsia="en-US"/>
        </w:rPr>
      </w:pPr>
      <w:r w:rsidRPr="00E135F1">
        <w:rPr>
          <w:rFonts w:eastAsia="Calibri"/>
          <w:lang w:val="nl-BE" w:eastAsia="en-US"/>
        </w:rPr>
        <w:t>Bron</w:t>
      </w:r>
      <w:r w:rsidR="00E135F1" w:rsidRPr="00E135F1">
        <w:rPr>
          <w:rFonts w:eastAsia="Calibri"/>
          <w:lang w:val="nl-BE" w:eastAsia="en-US"/>
        </w:rPr>
        <w:t>:</w:t>
      </w:r>
      <w:r w:rsidRPr="00E135F1">
        <w:rPr>
          <w:rFonts w:eastAsia="Calibri"/>
          <w:lang w:val="nl-BE" w:eastAsia="en-US"/>
        </w:rPr>
        <w:t xml:space="preserve"> FAOSTAT</w:t>
      </w:r>
    </w:p>
    <w:p w14:paraId="4C9341D9" w14:textId="77777777" w:rsidR="00D51D1B" w:rsidRPr="00FB535A" w:rsidRDefault="00D51D1B" w:rsidP="00B119DF">
      <w:pPr>
        <w:pStyle w:val="StijlStandaardSVVerdana10ptCursiefLinks-175cm"/>
        <w:ind w:left="360"/>
        <w:rPr>
          <w:rFonts w:eastAsia="Calibri"/>
          <w:i w:val="0"/>
          <w:lang w:val="nl-BE" w:eastAsia="en-US"/>
        </w:rPr>
      </w:pPr>
    </w:p>
    <w:p w14:paraId="0516F6F1" w14:textId="3DE252B0" w:rsidR="00FE215E" w:rsidRPr="001A2B37" w:rsidRDefault="001A2B37" w:rsidP="001A2B37">
      <w:pPr>
        <w:pStyle w:val="StijlStandaardSVVerdana10ptCursiefLinks-175cm"/>
        <w:numPr>
          <w:ilvl w:val="0"/>
          <w:numId w:val="5"/>
        </w:numPr>
        <w:tabs>
          <w:tab w:val="left" w:pos="426"/>
        </w:tabs>
        <w:ind w:left="709" w:hanging="709"/>
        <w:rPr>
          <w:rFonts w:eastAsia="Calibri"/>
          <w:i w:val="0"/>
          <w:lang w:val="nl-BE" w:eastAsia="en-US"/>
        </w:rPr>
      </w:pPr>
      <w:r w:rsidRPr="001A2B37">
        <w:rPr>
          <w:rFonts w:eastAsia="Calibri"/>
          <w:i w:val="0"/>
          <w:lang w:val="en-GB" w:eastAsia="en-US"/>
        </w:rPr>
        <w:t>a</w:t>
      </w:r>
      <w:r>
        <w:rPr>
          <w:rFonts w:eastAsia="Calibri"/>
          <w:i w:val="0"/>
          <w:lang w:val="en-GB" w:eastAsia="en-US"/>
        </w:rPr>
        <w:t>)</w:t>
      </w:r>
      <w:r>
        <w:rPr>
          <w:rFonts w:eastAsia="Calibri"/>
          <w:i w:val="0"/>
          <w:lang w:val="en-GB" w:eastAsia="en-US"/>
        </w:rPr>
        <w:tab/>
      </w:r>
      <w:r w:rsidR="00FE215E" w:rsidRPr="001A2B37">
        <w:rPr>
          <w:rFonts w:eastAsia="Calibri"/>
          <w:i w:val="0"/>
          <w:lang w:val="en-US" w:eastAsia="en-US"/>
        </w:rPr>
        <w:t xml:space="preserve">BFA </w:t>
      </w:r>
      <w:r w:rsidR="0013416F" w:rsidRPr="001A2B37">
        <w:rPr>
          <w:rFonts w:eastAsia="Calibri"/>
          <w:i w:val="0"/>
          <w:lang w:val="en-US" w:eastAsia="en-US"/>
        </w:rPr>
        <w:t xml:space="preserve">(Belgian Feed Association) </w:t>
      </w:r>
      <w:proofErr w:type="spellStart"/>
      <w:r w:rsidR="00FE215E" w:rsidRPr="001A2B37">
        <w:rPr>
          <w:rFonts w:eastAsia="Calibri"/>
          <w:i w:val="0"/>
          <w:lang w:val="en-US" w:eastAsia="en-US"/>
        </w:rPr>
        <w:t>koopt</w:t>
      </w:r>
      <w:proofErr w:type="spellEnd"/>
      <w:r w:rsidR="00FE215E" w:rsidRPr="001A2B37">
        <w:rPr>
          <w:rFonts w:eastAsia="Calibri"/>
          <w:i w:val="0"/>
          <w:lang w:val="en-US" w:eastAsia="en-US"/>
        </w:rPr>
        <w:t xml:space="preserve"> </w:t>
      </w:r>
      <w:proofErr w:type="spellStart"/>
      <w:r w:rsidR="00FE215E" w:rsidRPr="001A2B37">
        <w:rPr>
          <w:rFonts w:eastAsia="Calibri"/>
          <w:i w:val="0"/>
          <w:lang w:val="en-US" w:eastAsia="en-US"/>
        </w:rPr>
        <w:t>sojacertificaten</w:t>
      </w:r>
      <w:proofErr w:type="spellEnd"/>
      <w:r w:rsidR="00FE215E" w:rsidRPr="001A2B37">
        <w:rPr>
          <w:rFonts w:eastAsia="Calibri"/>
          <w:i w:val="0"/>
          <w:lang w:val="en-US" w:eastAsia="en-US"/>
        </w:rPr>
        <w:t xml:space="preserve"> </w:t>
      </w:r>
      <w:proofErr w:type="spellStart"/>
      <w:r w:rsidR="00FE215E" w:rsidRPr="001A2B37">
        <w:rPr>
          <w:rFonts w:eastAsia="Calibri"/>
          <w:i w:val="0"/>
          <w:lang w:val="en-US" w:eastAsia="en-US"/>
        </w:rPr>
        <w:t>aan</w:t>
      </w:r>
      <w:proofErr w:type="spellEnd"/>
      <w:r w:rsidR="00FE215E" w:rsidRPr="001A2B37">
        <w:rPr>
          <w:rFonts w:eastAsia="Calibri"/>
          <w:i w:val="0"/>
          <w:lang w:val="en-US" w:eastAsia="en-US"/>
        </w:rPr>
        <w:t xml:space="preserve"> via </w:t>
      </w:r>
      <w:proofErr w:type="spellStart"/>
      <w:r w:rsidR="00FE215E" w:rsidRPr="001A2B37">
        <w:rPr>
          <w:rFonts w:eastAsia="Calibri"/>
          <w:i w:val="0"/>
          <w:lang w:val="en-US" w:eastAsia="en-US"/>
        </w:rPr>
        <w:t>verschillende</w:t>
      </w:r>
      <w:proofErr w:type="spellEnd"/>
      <w:r w:rsidR="00FE215E" w:rsidRPr="001A2B37">
        <w:rPr>
          <w:rFonts w:eastAsia="Calibri"/>
          <w:i w:val="0"/>
          <w:lang w:val="en-US" w:eastAsia="en-US"/>
        </w:rPr>
        <w:t xml:space="preserve"> </w:t>
      </w:r>
      <w:proofErr w:type="spellStart"/>
      <w:r w:rsidR="00FE215E" w:rsidRPr="001A2B37">
        <w:rPr>
          <w:rFonts w:eastAsia="Calibri"/>
          <w:i w:val="0"/>
          <w:lang w:val="en-US" w:eastAsia="en-US"/>
        </w:rPr>
        <w:t>standaarden</w:t>
      </w:r>
      <w:proofErr w:type="spellEnd"/>
      <w:r w:rsidR="00FE215E" w:rsidRPr="001A2B37">
        <w:rPr>
          <w:rFonts w:eastAsia="Calibri"/>
          <w:i w:val="0"/>
          <w:lang w:val="en-US" w:eastAsia="en-US"/>
        </w:rPr>
        <w:t xml:space="preserve"> </w:t>
      </w:r>
      <w:proofErr w:type="spellStart"/>
      <w:r w:rsidR="00FE215E" w:rsidRPr="001A2B37">
        <w:rPr>
          <w:rFonts w:eastAsia="Calibri"/>
          <w:i w:val="0"/>
          <w:lang w:val="en-US" w:eastAsia="en-US"/>
        </w:rPr>
        <w:t>zoals</w:t>
      </w:r>
      <w:proofErr w:type="spellEnd"/>
      <w:r w:rsidR="00FE215E" w:rsidRPr="001A2B37">
        <w:rPr>
          <w:rFonts w:eastAsia="Calibri"/>
          <w:i w:val="0"/>
          <w:lang w:val="en-US" w:eastAsia="en-US"/>
        </w:rPr>
        <w:t xml:space="preserve"> RTRS</w:t>
      </w:r>
      <w:r w:rsidR="00C73A07" w:rsidRPr="001A2B37">
        <w:rPr>
          <w:rFonts w:eastAsia="Calibri"/>
          <w:i w:val="0"/>
          <w:lang w:val="en-US" w:eastAsia="en-US"/>
        </w:rPr>
        <w:t xml:space="preserve"> ‘Round Table on Responsible Soy)</w:t>
      </w:r>
      <w:r w:rsidR="00FE215E" w:rsidRPr="001A2B37">
        <w:rPr>
          <w:rFonts w:eastAsia="Calibri"/>
          <w:i w:val="0"/>
          <w:lang w:val="en-US" w:eastAsia="en-US"/>
        </w:rPr>
        <w:t xml:space="preserve">, CRS (Certified Responsible Soya) en SFAP non conversion (Sustainable Farming Assurance </w:t>
      </w:r>
      <w:proofErr w:type="spellStart"/>
      <w:r w:rsidR="00FE215E" w:rsidRPr="001A2B37">
        <w:rPr>
          <w:rFonts w:eastAsia="Calibri"/>
          <w:i w:val="0"/>
          <w:lang w:val="en-US" w:eastAsia="en-US"/>
        </w:rPr>
        <w:t>Programme</w:t>
      </w:r>
      <w:proofErr w:type="spellEnd"/>
      <w:r w:rsidR="00FE215E" w:rsidRPr="001A2B37">
        <w:rPr>
          <w:rFonts w:eastAsia="Calibri"/>
          <w:i w:val="0"/>
          <w:lang w:val="en-US" w:eastAsia="en-US"/>
        </w:rPr>
        <w:t xml:space="preserve">). </w:t>
      </w:r>
      <w:r w:rsidR="00FE215E" w:rsidRPr="001A2B37">
        <w:rPr>
          <w:rFonts w:eastAsia="Calibri"/>
          <w:i w:val="0"/>
          <w:lang w:val="nl-BE" w:eastAsia="en-US"/>
        </w:rPr>
        <w:t xml:space="preserve">De totale groep </w:t>
      </w:r>
      <w:r w:rsidR="0013416F" w:rsidRPr="001A2B37">
        <w:rPr>
          <w:rFonts w:eastAsia="Calibri"/>
          <w:i w:val="0"/>
          <w:lang w:val="nl-BE" w:eastAsia="en-US"/>
        </w:rPr>
        <w:t>van verschillende duurzame soja</w:t>
      </w:r>
      <w:r w:rsidR="00FE215E" w:rsidRPr="001A2B37">
        <w:rPr>
          <w:rFonts w:eastAsia="Calibri"/>
          <w:i w:val="0"/>
          <w:lang w:val="nl-BE" w:eastAsia="en-US"/>
        </w:rPr>
        <w:t xml:space="preserve">certificaten maakt samen het programma </w:t>
      </w:r>
      <w:r w:rsidR="0013416F" w:rsidRPr="001A2B37">
        <w:rPr>
          <w:rFonts w:eastAsia="Calibri"/>
          <w:i w:val="0"/>
          <w:lang w:val="nl-BE" w:eastAsia="en-US"/>
        </w:rPr>
        <w:t>‘</w:t>
      </w:r>
      <w:r w:rsidR="00FE215E" w:rsidRPr="001A2B37">
        <w:rPr>
          <w:rFonts w:eastAsia="Calibri"/>
          <w:i w:val="0"/>
          <w:lang w:val="nl-BE" w:eastAsia="en-US"/>
        </w:rPr>
        <w:t>maatschappelijk verantwoorde soja</w:t>
      </w:r>
      <w:r w:rsidR="0013416F" w:rsidRPr="001A2B37">
        <w:rPr>
          <w:rFonts w:eastAsia="Calibri"/>
          <w:i w:val="0"/>
          <w:lang w:val="nl-BE" w:eastAsia="en-US"/>
        </w:rPr>
        <w:t>’</w:t>
      </w:r>
      <w:r w:rsidR="00FE215E" w:rsidRPr="001A2B37">
        <w:rPr>
          <w:rFonts w:eastAsia="Calibri"/>
          <w:i w:val="0"/>
          <w:lang w:val="nl-BE" w:eastAsia="en-US"/>
        </w:rPr>
        <w:t xml:space="preserve"> (mv-soja) van BFA.</w:t>
      </w:r>
    </w:p>
    <w:p w14:paraId="2078BE94" w14:textId="5EEAE5BE" w:rsidR="002A6F13" w:rsidRDefault="00FE215E" w:rsidP="0094501D">
      <w:pPr>
        <w:pStyle w:val="StijlStandaardSVVerdana10ptCursiefLinks-175cm"/>
        <w:ind w:left="720"/>
        <w:rPr>
          <w:rFonts w:eastAsia="Calibri"/>
          <w:i w:val="0"/>
          <w:lang w:val="nl-BE" w:eastAsia="en-US"/>
        </w:rPr>
      </w:pPr>
      <w:r w:rsidRPr="00FE215E">
        <w:rPr>
          <w:rFonts w:eastAsia="Calibri"/>
          <w:i w:val="0"/>
          <w:lang w:val="nl-BE" w:eastAsia="en-US"/>
        </w:rPr>
        <w:t xml:space="preserve">In 2019 werd er 365.000 ton duurzame soja aangekocht. </w:t>
      </w:r>
      <w:r w:rsidR="00C82F5E" w:rsidRPr="00C82F5E">
        <w:rPr>
          <w:rFonts w:eastAsia="Calibri"/>
          <w:i w:val="0"/>
          <w:lang w:eastAsia="en-US"/>
        </w:rPr>
        <w:t xml:space="preserve">De mv-soja certificaten die aangekocht worden, vallen onder het systeem van Area Mass Balance. Dit betekent dat de soja die verwerkt wordt in het Belgisch mengvoeder geen directe </w:t>
      </w:r>
      <w:r w:rsidR="006B192D">
        <w:rPr>
          <w:rFonts w:eastAsia="Calibri"/>
          <w:i w:val="0"/>
          <w:lang w:eastAsia="en-US"/>
        </w:rPr>
        <w:t>fysieke</w:t>
      </w:r>
      <w:r w:rsidR="006B192D" w:rsidRPr="00C82F5E">
        <w:rPr>
          <w:rFonts w:eastAsia="Calibri"/>
          <w:i w:val="0"/>
          <w:lang w:eastAsia="en-US"/>
        </w:rPr>
        <w:t xml:space="preserve"> </w:t>
      </w:r>
      <w:r w:rsidR="00C82F5E" w:rsidRPr="00C82F5E">
        <w:rPr>
          <w:rFonts w:eastAsia="Calibri"/>
          <w:i w:val="0"/>
          <w:lang w:eastAsia="en-US"/>
        </w:rPr>
        <w:t>link heeft met de mv-soja, maar wel dat de soja die in het voeder verwerkt wordt, afkomstig is uit de regio’s waar eveneens de duurzame soja geteeld en gecertificeerd wordt.</w:t>
      </w:r>
      <w:r w:rsidR="00D41C68">
        <w:rPr>
          <w:rFonts w:eastAsia="Calibri"/>
          <w:i w:val="0"/>
          <w:lang w:eastAsia="en-US"/>
        </w:rPr>
        <w:t xml:space="preserve"> </w:t>
      </w:r>
      <w:r w:rsidR="00D41C68">
        <w:rPr>
          <w:rFonts w:eastAsia="Calibri"/>
          <w:i w:val="0"/>
          <w:lang w:val="nl-BE" w:eastAsia="en-US"/>
        </w:rPr>
        <w:t xml:space="preserve">Het is niet gekend </w:t>
      </w:r>
      <w:r w:rsidR="00857E71">
        <w:rPr>
          <w:rFonts w:eastAsia="Calibri"/>
          <w:i w:val="0"/>
          <w:lang w:val="nl-BE" w:eastAsia="en-US"/>
        </w:rPr>
        <w:t xml:space="preserve">wat </w:t>
      </w:r>
      <w:r w:rsidR="00884BE5">
        <w:rPr>
          <w:rFonts w:eastAsia="Calibri"/>
          <w:i w:val="0"/>
          <w:lang w:val="nl-BE" w:eastAsia="en-US"/>
        </w:rPr>
        <w:t xml:space="preserve">hierin </w:t>
      </w:r>
      <w:r w:rsidR="00857E71">
        <w:rPr>
          <w:rFonts w:eastAsia="Calibri"/>
          <w:i w:val="0"/>
          <w:lang w:val="nl-BE" w:eastAsia="en-US"/>
        </w:rPr>
        <w:t xml:space="preserve">het </w:t>
      </w:r>
      <w:r w:rsidR="00D41C68">
        <w:rPr>
          <w:rFonts w:eastAsia="Calibri"/>
          <w:i w:val="0"/>
          <w:lang w:val="nl-BE" w:eastAsia="en-US"/>
        </w:rPr>
        <w:t>aandeel</w:t>
      </w:r>
      <w:r w:rsidR="00857E71">
        <w:rPr>
          <w:rFonts w:eastAsia="Calibri"/>
          <w:i w:val="0"/>
          <w:lang w:val="nl-BE" w:eastAsia="en-US"/>
        </w:rPr>
        <w:t xml:space="preserve"> </w:t>
      </w:r>
      <w:r w:rsidR="00296EBD">
        <w:rPr>
          <w:rFonts w:eastAsia="Calibri"/>
          <w:i w:val="0"/>
          <w:lang w:val="nl-BE" w:eastAsia="en-US"/>
        </w:rPr>
        <w:t xml:space="preserve">van </w:t>
      </w:r>
      <w:r w:rsidR="00857E71">
        <w:rPr>
          <w:rFonts w:eastAsia="Calibri"/>
          <w:i w:val="0"/>
          <w:lang w:val="nl-BE" w:eastAsia="en-US"/>
        </w:rPr>
        <w:t xml:space="preserve">maatschappelijk verantwoorde soja is die </w:t>
      </w:r>
      <w:r w:rsidR="00884BE5">
        <w:rPr>
          <w:rFonts w:eastAsia="Calibri"/>
          <w:i w:val="0"/>
          <w:lang w:val="nl-BE" w:eastAsia="en-US"/>
        </w:rPr>
        <w:t xml:space="preserve">specifiek </w:t>
      </w:r>
      <w:r w:rsidR="00857E71">
        <w:rPr>
          <w:rFonts w:eastAsia="Calibri"/>
          <w:i w:val="0"/>
          <w:lang w:val="nl-BE" w:eastAsia="en-US"/>
        </w:rPr>
        <w:t>vanuit Brazilië naar Vlaanderen wordt geëxporteerd</w:t>
      </w:r>
      <w:r w:rsidR="00D41C68">
        <w:rPr>
          <w:rFonts w:eastAsia="Calibri"/>
          <w:i w:val="0"/>
          <w:lang w:val="nl-BE" w:eastAsia="en-US"/>
        </w:rPr>
        <w:t>.</w:t>
      </w:r>
    </w:p>
    <w:p w14:paraId="7DA49FF9" w14:textId="77777777" w:rsidR="0094501D" w:rsidRDefault="0094501D" w:rsidP="0094501D">
      <w:pPr>
        <w:pStyle w:val="StijlStandaardSVVerdana10ptCursiefLinks-175cm"/>
        <w:ind w:left="720"/>
        <w:rPr>
          <w:rFonts w:eastAsia="Calibri"/>
          <w:i w:val="0"/>
          <w:lang w:val="nl-BE" w:eastAsia="en-US"/>
        </w:rPr>
      </w:pPr>
    </w:p>
    <w:p w14:paraId="5333FB52" w14:textId="28BEB2B2" w:rsidR="002A6F13" w:rsidRDefault="001A2B37" w:rsidP="001A2B37">
      <w:pPr>
        <w:pStyle w:val="StijlStandaardSVVerdana10ptCursiefLinks-175cm"/>
        <w:ind w:left="720" w:hanging="294"/>
        <w:rPr>
          <w:rFonts w:eastAsia="Calibri"/>
          <w:i w:val="0"/>
          <w:lang w:val="nl-BE" w:eastAsia="en-US"/>
        </w:rPr>
      </w:pPr>
      <w:r>
        <w:rPr>
          <w:rFonts w:eastAsia="Calibri"/>
          <w:i w:val="0"/>
          <w:lang w:val="nl-BE" w:eastAsia="en-US"/>
        </w:rPr>
        <w:lastRenderedPageBreak/>
        <w:t>b)</w:t>
      </w:r>
      <w:r>
        <w:rPr>
          <w:rFonts w:eastAsia="Calibri"/>
          <w:i w:val="0"/>
          <w:lang w:val="nl-BE" w:eastAsia="en-US"/>
        </w:rPr>
        <w:tab/>
      </w:r>
      <w:r w:rsidR="00FE215E" w:rsidRPr="00FE215E">
        <w:rPr>
          <w:rFonts w:eastAsia="Calibri"/>
          <w:i w:val="0"/>
          <w:lang w:val="nl-BE" w:eastAsia="en-US"/>
        </w:rPr>
        <w:t xml:space="preserve">De 365.000 ton </w:t>
      </w:r>
      <w:r w:rsidR="00C82F5E">
        <w:rPr>
          <w:rFonts w:eastAsia="Calibri"/>
          <w:i w:val="0"/>
          <w:lang w:val="nl-BE" w:eastAsia="en-US"/>
        </w:rPr>
        <w:t xml:space="preserve">mv-soja </w:t>
      </w:r>
      <w:r w:rsidR="00FE215E" w:rsidRPr="00FE215E">
        <w:rPr>
          <w:rFonts w:eastAsia="Calibri"/>
          <w:i w:val="0"/>
          <w:lang w:val="nl-BE" w:eastAsia="en-US"/>
        </w:rPr>
        <w:t xml:space="preserve">dekt het voederverbruik nodig voor de consumptie van dierlijke producten op de Belgische markt </w:t>
      </w:r>
      <w:r w:rsidR="00C82F5E">
        <w:rPr>
          <w:rFonts w:eastAsia="Calibri"/>
          <w:i w:val="0"/>
          <w:lang w:val="nl-BE" w:eastAsia="en-US"/>
        </w:rPr>
        <w:t>en</w:t>
      </w:r>
      <w:r w:rsidR="00FE215E" w:rsidRPr="00FE215E">
        <w:rPr>
          <w:rFonts w:eastAsia="Calibri"/>
          <w:i w:val="0"/>
          <w:lang w:val="nl-BE" w:eastAsia="en-US"/>
        </w:rPr>
        <w:t xml:space="preserve"> het diervoeder dat w</w:t>
      </w:r>
      <w:r w:rsidR="0094501D">
        <w:rPr>
          <w:rFonts w:eastAsia="Calibri"/>
          <w:i w:val="0"/>
          <w:lang w:val="nl-BE" w:eastAsia="en-US"/>
        </w:rPr>
        <w:t>ordt uitgevoerd naar Nederland.</w:t>
      </w:r>
    </w:p>
    <w:p w14:paraId="0CBA74DB" w14:textId="77777777" w:rsidR="0094501D" w:rsidRDefault="0094501D" w:rsidP="0094501D">
      <w:pPr>
        <w:pStyle w:val="StijlStandaardSVVerdana10ptCursiefLinks-175cm"/>
        <w:ind w:left="720"/>
        <w:rPr>
          <w:rFonts w:eastAsia="Calibri"/>
          <w:i w:val="0"/>
          <w:lang w:val="nl-BE" w:eastAsia="en-US"/>
        </w:rPr>
      </w:pPr>
    </w:p>
    <w:p w14:paraId="0829DF5B" w14:textId="238C4040" w:rsidR="00D1664D" w:rsidRDefault="001A2B37" w:rsidP="001A2B37">
      <w:pPr>
        <w:pStyle w:val="Voetnoottekst"/>
        <w:ind w:left="720" w:hanging="294"/>
        <w:jc w:val="both"/>
        <w:rPr>
          <w:rFonts w:ascii="Verdana" w:eastAsia="Calibri" w:hAnsi="Verdana" w:cs="Times New Roman"/>
          <w:iCs/>
        </w:rPr>
      </w:pPr>
      <w:r>
        <w:rPr>
          <w:rFonts w:ascii="Verdana" w:eastAsia="Calibri" w:hAnsi="Verdana" w:cs="Times New Roman"/>
          <w:iCs/>
        </w:rPr>
        <w:t>c)</w:t>
      </w:r>
      <w:r>
        <w:rPr>
          <w:rFonts w:ascii="Verdana" w:eastAsia="Calibri" w:hAnsi="Verdana" w:cs="Times New Roman"/>
          <w:iCs/>
        </w:rPr>
        <w:tab/>
      </w:r>
      <w:r w:rsidR="00877B0D" w:rsidRPr="00877B0D">
        <w:rPr>
          <w:rFonts w:ascii="Verdana" w:eastAsia="Calibri" w:hAnsi="Verdana" w:cs="Times New Roman"/>
          <w:iCs/>
        </w:rPr>
        <w:t xml:space="preserve">België </w:t>
      </w:r>
      <w:r w:rsidR="00857E71">
        <w:rPr>
          <w:rFonts w:ascii="Verdana" w:eastAsia="Calibri" w:hAnsi="Verdana" w:cs="Times New Roman"/>
          <w:iCs/>
        </w:rPr>
        <w:t xml:space="preserve">behoort volgens de European </w:t>
      </w:r>
      <w:proofErr w:type="spellStart"/>
      <w:r w:rsidR="00857E71">
        <w:rPr>
          <w:rFonts w:ascii="Verdana" w:eastAsia="Calibri" w:hAnsi="Verdana" w:cs="Times New Roman"/>
          <w:iCs/>
        </w:rPr>
        <w:t>Soy</w:t>
      </w:r>
      <w:proofErr w:type="spellEnd"/>
      <w:r w:rsidR="00857E71">
        <w:rPr>
          <w:rFonts w:ascii="Verdana" w:eastAsia="Calibri" w:hAnsi="Verdana" w:cs="Times New Roman"/>
          <w:iCs/>
        </w:rPr>
        <w:t xml:space="preserve"> Monitor (</w:t>
      </w:r>
      <w:hyperlink r:id="rId11" w:history="1">
        <w:r w:rsidR="00857E71" w:rsidRPr="0098562E">
          <w:rPr>
            <w:rStyle w:val="Hyperlink"/>
            <w:rFonts w:ascii="Verdana" w:eastAsia="Calibri" w:hAnsi="Verdana" w:cs="Times New Roman"/>
            <w:iCs/>
          </w:rPr>
          <w:t>https://www.idhsustainabletrade.com/uploaded/2020/05/IDH-European-Soy-Monitor-v2.pdf</w:t>
        </w:r>
      </w:hyperlink>
      <w:r w:rsidR="00857E71">
        <w:rPr>
          <w:rFonts w:ascii="Verdana" w:eastAsia="Calibri" w:hAnsi="Verdana" w:cs="Times New Roman"/>
          <w:iCs/>
        </w:rPr>
        <w:t xml:space="preserve">) </w:t>
      </w:r>
      <w:r w:rsidR="00877B0D" w:rsidRPr="00877B0D">
        <w:rPr>
          <w:rFonts w:ascii="Verdana" w:eastAsia="Calibri" w:hAnsi="Verdana" w:cs="Times New Roman"/>
          <w:iCs/>
        </w:rPr>
        <w:t xml:space="preserve">naast Noorwegen en Nederland tot de </w:t>
      </w:r>
      <w:r w:rsidR="00DC05A4">
        <w:rPr>
          <w:rFonts w:ascii="Verdana" w:eastAsia="Calibri" w:hAnsi="Verdana" w:cs="Times New Roman"/>
          <w:iCs/>
        </w:rPr>
        <w:t>drie</w:t>
      </w:r>
      <w:r w:rsidR="00DC05A4" w:rsidRPr="00877B0D">
        <w:rPr>
          <w:rFonts w:ascii="Verdana" w:eastAsia="Calibri" w:hAnsi="Verdana" w:cs="Times New Roman"/>
          <w:iCs/>
        </w:rPr>
        <w:t xml:space="preserve"> </w:t>
      </w:r>
      <w:r w:rsidR="00877B0D" w:rsidRPr="00877B0D">
        <w:rPr>
          <w:rFonts w:ascii="Verdana" w:eastAsia="Calibri" w:hAnsi="Verdana" w:cs="Times New Roman"/>
          <w:iCs/>
        </w:rPr>
        <w:t>koplopers</w:t>
      </w:r>
      <w:r w:rsidR="00884BE5">
        <w:rPr>
          <w:rFonts w:ascii="Verdana" w:eastAsia="Calibri" w:hAnsi="Verdana" w:cs="Times New Roman"/>
          <w:iCs/>
        </w:rPr>
        <w:t>.</w:t>
      </w:r>
    </w:p>
    <w:p w14:paraId="0C3D648A" w14:textId="77777777" w:rsidR="002A6F13" w:rsidRDefault="002A6F13" w:rsidP="0089324F">
      <w:pPr>
        <w:pStyle w:val="StijlStandaardSVVerdana10ptCursiefLinks-175cm"/>
        <w:ind w:left="360"/>
        <w:rPr>
          <w:rFonts w:eastAsia="Calibri"/>
          <w:i w:val="0"/>
          <w:lang w:val="nl-BE" w:eastAsia="en-US"/>
        </w:rPr>
      </w:pPr>
    </w:p>
    <w:p w14:paraId="3FF7BA8F" w14:textId="53E8022E" w:rsidR="006663BB" w:rsidRPr="00890127" w:rsidRDefault="00557CA8" w:rsidP="00890127">
      <w:pPr>
        <w:pStyle w:val="Voetnoottekst"/>
        <w:numPr>
          <w:ilvl w:val="0"/>
          <w:numId w:val="5"/>
        </w:numPr>
        <w:jc w:val="both"/>
        <w:rPr>
          <w:rFonts w:ascii="Verdana" w:eastAsia="Calibri" w:hAnsi="Verdana" w:cs="Times New Roman"/>
          <w:iCs/>
        </w:rPr>
      </w:pPr>
      <w:r>
        <w:rPr>
          <w:rFonts w:ascii="Verdana" w:eastAsia="Calibri" w:hAnsi="Verdana"/>
          <w:iCs/>
        </w:rPr>
        <w:t xml:space="preserve">Er zijn </w:t>
      </w:r>
      <w:r w:rsidR="000811AF">
        <w:rPr>
          <w:rFonts w:ascii="Verdana" w:eastAsia="Calibri" w:hAnsi="Verdana"/>
          <w:iCs/>
        </w:rPr>
        <w:t>onvoldoen</w:t>
      </w:r>
      <w:r w:rsidR="004F2E85">
        <w:rPr>
          <w:rFonts w:ascii="Verdana" w:eastAsia="Calibri" w:hAnsi="Verdana"/>
          <w:iCs/>
        </w:rPr>
        <w:t>d</w:t>
      </w:r>
      <w:r w:rsidR="000811AF">
        <w:rPr>
          <w:rFonts w:ascii="Verdana" w:eastAsia="Calibri" w:hAnsi="Verdana"/>
          <w:iCs/>
        </w:rPr>
        <w:t>e</w:t>
      </w:r>
      <w:r>
        <w:rPr>
          <w:rFonts w:ascii="Verdana" w:eastAsia="Calibri" w:hAnsi="Verdana"/>
          <w:iCs/>
        </w:rPr>
        <w:t xml:space="preserve"> exacte cijfers</w:t>
      </w:r>
      <w:r w:rsidR="00DC05A4">
        <w:rPr>
          <w:rFonts w:ascii="Verdana" w:eastAsia="Calibri" w:hAnsi="Verdana"/>
          <w:iCs/>
        </w:rPr>
        <w:t xml:space="preserve"> beschikbaar</w:t>
      </w:r>
      <w:r>
        <w:rPr>
          <w:rFonts w:ascii="Verdana" w:eastAsia="Calibri" w:hAnsi="Verdana"/>
          <w:iCs/>
        </w:rPr>
        <w:t xml:space="preserve"> </w:t>
      </w:r>
      <w:r w:rsidR="000811AF">
        <w:rPr>
          <w:rFonts w:ascii="Verdana" w:eastAsia="Calibri" w:hAnsi="Verdana"/>
          <w:iCs/>
        </w:rPr>
        <w:t>hierover.</w:t>
      </w:r>
    </w:p>
    <w:sectPr w:rsidR="006663BB" w:rsidRPr="0089012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27886" w14:textId="77777777" w:rsidR="0064195B" w:rsidRDefault="0064195B" w:rsidP="00877B0D">
      <w:r>
        <w:separator/>
      </w:r>
    </w:p>
  </w:endnote>
  <w:endnote w:type="continuationSeparator" w:id="0">
    <w:p w14:paraId="3B79B043" w14:textId="77777777" w:rsidR="0064195B" w:rsidRDefault="0064195B" w:rsidP="00877B0D">
      <w:r>
        <w:continuationSeparator/>
      </w:r>
    </w:p>
  </w:endnote>
  <w:endnote w:type="continuationNotice" w:id="1">
    <w:p w14:paraId="2E95BE77" w14:textId="77777777" w:rsidR="0064195B" w:rsidRDefault="006419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2D464" w14:textId="77777777" w:rsidR="0064195B" w:rsidRDefault="0064195B" w:rsidP="00877B0D">
      <w:r>
        <w:separator/>
      </w:r>
    </w:p>
  </w:footnote>
  <w:footnote w:type="continuationSeparator" w:id="0">
    <w:p w14:paraId="30623FB3" w14:textId="77777777" w:rsidR="0064195B" w:rsidRDefault="0064195B" w:rsidP="00877B0D">
      <w:r>
        <w:continuationSeparator/>
      </w:r>
    </w:p>
  </w:footnote>
  <w:footnote w:type="continuationNotice" w:id="1">
    <w:p w14:paraId="6386A0A7" w14:textId="77777777" w:rsidR="0064195B" w:rsidRDefault="006419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E5B27"/>
    <w:multiLevelType w:val="hybridMultilevel"/>
    <w:tmpl w:val="12325E00"/>
    <w:lvl w:ilvl="0" w:tplc="AA3077C2">
      <w:start w:val="1"/>
      <w:numFmt w:val="lowerLetter"/>
      <w:lvlText w:val="%1)"/>
      <w:lvlJc w:val="left"/>
      <w:pPr>
        <w:ind w:left="720" w:hanging="360"/>
      </w:pPr>
      <w:rPr>
        <w:rFonts w:ascii="Verdana" w:hAnsi="Verdana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53088"/>
    <w:multiLevelType w:val="hybridMultilevel"/>
    <w:tmpl w:val="02DC2BC8"/>
    <w:lvl w:ilvl="0" w:tplc="08130017">
      <w:start w:val="1"/>
      <w:numFmt w:val="lowerLetter"/>
      <w:lvlText w:val="%1)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A3D79"/>
    <w:multiLevelType w:val="hybridMultilevel"/>
    <w:tmpl w:val="AC722A24"/>
    <w:lvl w:ilvl="0" w:tplc="1EF4BA8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57E25"/>
    <w:multiLevelType w:val="hybridMultilevel"/>
    <w:tmpl w:val="59E63900"/>
    <w:lvl w:ilvl="0" w:tplc="C7E086A2">
      <w:start w:val="1"/>
      <w:numFmt w:val="lowerLetter"/>
      <w:lvlText w:val="%1-b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030CB"/>
    <w:multiLevelType w:val="hybridMultilevel"/>
    <w:tmpl w:val="9F04E596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C5CAB"/>
    <w:multiLevelType w:val="hybridMultilevel"/>
    <w:tmpl w:val="0BFAF48C"/>
    <w:lvl w:ilvl="0" w:tplc="70120034">
      <w:start w:val="1"/>
      <w:numFmt w:val="lowerLetter"/>
      <w:lvlText w:val="%1-b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225F2"/>
    <w:multiLevelType w:val="hybridMultilevel"/>
    <w:tmpl w:val="12325E00"/>
    <w:lvl w:ilvl="0" w:tplc="AA3077C2">
      <w:start w:val="1"/>
      <w:numFmt w:val="lowerLetter"/>
      <w:lvlText w:val="%1)"/>
      <w:lvlJc w:val="left"/>
      <w:pPr>
        <w:ind w:left="720" w:hanging="360"/>
      </w:pPr>
      <w:rPr>
        <w:rFonts w:ascii="Verdana" w:hAnsi="Verdana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A66DC"/>
    <w:multiLevelType w:val="hybridMultilevel"/>
    <w:tmpl w:val="55FAEE50"/>
    <w:lvl w:ilvl="0" w:tplc="A2B0D33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52659"/>
    <w:multiLevelType w:val="hybridMultilevel"/>
    <w:tmpl w:val="F2402004"/>
    <w:lvl w:ilvl="0" w:tplc="075815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1633F"/>
    <w:multiLevelType w:val="hybridMultilevel"/>
    <w:tmpl w:val="ABBE0950"/>
    <w:lvl w:ilvl="0" w:tplc="08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B918CD"/>
    <w:multiLevelType w:val="hybridMultilevel"/>
    <w:tmpl w:val="B5306614"/>
    <w:lvl w:ilvl="0" w:tplc="08130017">
      <w:start w:val="1"/>
      <w:numFmt w:val="lowerLetter"/>
      <w:lvlText w:val="%1)"/>
      <w:lvlJc w:val="left"/>
      <w:pPr>
        <w:ind w:left="1068" w:hanging="360"/>
      </w:p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B14467E"/>
    <w:multiLevelType w:val="hybridMultilevel"/>
    <w:tmpl w:val="069E2CAA"/>
    <w:lvl w:ilvl="0" w:tplc="AB4271DA">
      <w:start w:val="3"/>
      <w:numFmt w:val="decimal"/>
      <w:lvlText w:val="%1-5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01EE2"/>
    <w:multiLevelType w:val="hybridMultilevel"/>
    <w:tmpl w:val="9AEA7C22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7438D"/>
    <w:multiLevelType w:val="hybridMultilevel"/>
    <w:tmpl w:val="D036677C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63B1A"/>
    <w:multiLevelType w:val="hybridMultilevel"/>
    <w:tmpl w:val="F88A57AE"/>
    <w:lvl w:ilvl="0" w:tplc="FEACB7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B7379"/>
    <w:multiLevelType w:val="hybridMultilevel"/>
    <w:tmpl w:val="529CAA2A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12B73"/>
    <w:multiLevelType w:val="hybridMultilevel"/>
    <w:tmpl w:val="68ACFC40"/>
    <w:lvl w:ilvl="0" w:tplc="05E68B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4B5C86"/>
    <w:multiLevelType w:val="hybridMultilevel"/>
    <w:tmpl w:val="78F6D644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72B23"/>
    <w:multiLevelType w:val="hybridMultilevel"/>
    <w:tmpl w:val="40381A1A"/>
    <w:lvl w:ilvl="0" w:tplc="08130017">
      <w:start w:val="1"/>
      <w:numFmt w:val="lowerLetter"/>
      <w:lvlText w:val="%1)"/>
      <w:lvlJc w:val="left"/>
      <w:pPr>
        <w:ind w:left="1068" w:hanging="360"/>
      </w:p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35A69FF"/>
    <w:multiLevelType w:val="hybridMultilevel"/>
    <w:tmpl w:val="50D20D74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53A39"/>
    <w:multiLevelType w:val="hybridMultilevel"/>
    <w:tmpl w:val="F2567A3C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D8530A"/>
    <w:multiLevelType w:val="hybridMultilevel"/>
    <w:tmpl w:val="F7F881CE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03E06"/>
    <w:multiLevelType w:val="hybridMultilevel"/>
    <w:tmpl w:val="B5306614"/>
    <w:lvl w:ilvl="0" w:tplc="08130017">
      <w:start w:val="1"/>
      <w:numFmt w:val="lowerLetter"/>
      <w:lvlText w:val="%1)"/>
      <w:lvlJc w:val="left"/>
      <w:pPr>
        <w:ind w:left="1068" w:hanging="360"/>
      </w:p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11"/>
  </w:num>
  <w:num w:numId="3">
    <w:abstractNumId w:val="18"/>
  </w:num>
  <w:num w:numId="4">
    <w:abstractNumId w:val="21"/>
  </w:num>
  <w:num w:numId="5">
    <w:abstractNumId w:val="20"/>
  </w:num>
  <w:num w:numId="6">
    <w:abstractNumId w:val="1"/>
  </w:num>
  <w:num w:numId="7">
    <w:abstractNumId w:val="10"/>
  </w:num>
  <w:num w:numId="8">
    <w:abstractNumId w:val="15"/>
  </w:num>
  <w:num w:numId="9">
    <w:abstractNumId w:val="22"/>
  </w:num>
  <w:num w:numId="10">
    <w:abstractNumId w:val="7"/>
  </w:num>
  <w:num w:numId="11">
    <w:abstractNumId w:val="0"/>
  </w:num>
  <w:num w:numId="12">
    <w:abstractNumId w:val="6"/>
  </w:num>
  <w:num w:numId="13">
    <w:abstractNumId w:val="19"/>
  </w:num>
  <w:num w:numId="14">
    <w:abstractNumId w:val="17"/>
  </w:num>
  <w:num w:numId="15">
    <w:abstractNumId w:val="4"/>
  </w:num>
  <w:num w:numId="16">
    <w:abstractNumId w:val="5"/>
  </w:num>
  <w:num w:numId="17">
    <w:abstractNumId w:val="12"/>
  </w:num>
  <w:num w:numId="18">
    <w:abstractNumId w:val="2"/>
  </w:num>
  <w:num w:numId="19">
    <w:abstractNumId w:val="13"/>
  </w:num>
  <w:num w:numId="20">
    <w:abstractNumId w:val="9"/>
  </w:num>
  <w:num w:numId="21">
    <w:abstractNumId w:val="8"/>
  </w:num>
  <w:num w:numId="22">
    <w:abstractNumId w:val="14"/>
  </w:num>
  <w:num w:numId="2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28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DD5367"/>
    <w:rsid w:val="00006E02"/>
    <w:rsid w:val="00012A20"/>
    <w:rsid w:val="00015FE7"/>
    <w:rsid w:val="0001640B"/>
    <w:rsid w:val="00017798"/>
    <w:rsid w:val="000217BC"/>
    <w:rsid w:val="00055182"/>
    <w:rsid w:val="00064DC3"/>
    <w:rsid w:val="0006530E"/>
    <w:rsid w:val="00067E81"/>
    <w:rsid w:val="000811AF"/>
    <w:rsid w:val="00084E79"/>
    <w:rsid w:val="00086CB6"/>
    <w:rsid w:val="000A2CA5"/>
    <w:rsid w:val="000A41AA"/>
    <w:rsid w:val="000A4FF4"/>
    <w:rsid w:val="000A7F61"/>
    <w:rsid w:val="000B7E0E"/>
    <w:rsid w:val="000C271D"/>
    <w:rsid w:val="000C426D"/>
    <w:rsid w:val="000D293B"/>
    <w:rsid w:val="000E7DDA"/>
    <w:rsid w:val="000F58B3"/>
    <w:rsid w:val="001077A6"/>
    <w:rsid w:val="00115E01"/>
    <w:rsid w:val="00116480"/>
    <w:rsid w:val="00116E41"/>
    <w:rsid w:val="00120C03"/>
    <w:rsid w:val="0012487E"/>
    <w:rsid w:val="00126819"/>
    <w:rsid w:val="00127925"/>
    <w:rsid w:val="00127B62"/>
    <w:rsid w:val="00132A27"/>
    <w:rsid w:val="0013416F"/>
    <w:rsid w:val="00137474"/>
    <w:rsid w:val="001430FD"/>
    <w:rsid w:val="001462F9"/>
    <w:rsid w:val="00147C1C"/>
    <w:rsid w:val="0015257A"/>
    <w:rsid w:val="001541F5"/>
    <w:rsid w:val="00155340"/>
    <w:rsid w:val="00171223"/>
    <w:rsid w:val="00172FB3"/>
    <w:rsid w:val="00173D06"/>
    <w:rsid w:val="00173E62"/>
    <w:rsid w:val="001855A9"/>
    <w:rsid w:val="00190ED7"/>
    <w:rsid w:val="00193714"/>
    <w:rsid w:val="00195865"/>
    <w:rsid w:val="001A2B37"/>
    <w:rsid w:val="001A2D80"/>
    <w:rsid w:val="001A3225"/>
    <w:rsid w:val="001B2F27"/>
    <w:rsid w:val="001B5919"/>
    <w:rsid w:val="001B70FB"/>
    <w:rsid w:val="001C2638"/>
    <w:rsid w:val="001C5098"/>
    <w:rsid w:val="001C6F2D"/>
    <w:rsid w:val="001D54E9"/>
    <w:rsid w:val="001F238C"/>
    <w:rsid w:val="001F2475"/>
    <w:rsid w:val="001F341C"/>
    <w:rsid w:val="00203A6C"/>
    <w:rsid w:val="00203EA5"/>
    <w:rsid w:val="00210519"/>
    <w:rsid w:val="002172BD"/>
    <w:rsid w:val="0022435E"/>
    <w:rsid w:val="002302FF"/>
    <w:rsid w:val="00232AFA"/>
    <w:rsid w:val="00236C91"/>
    <w:rsid w:val="00253C6A"/>
    <w:rsid w:val="0025419B"/>
    <w:rsid w:val="00261542"/>
    <w:rsid w:val="00270462"/>
    <w:rsid w:val="00272CBE"/>
    <w:rsid w:val="00296BA2"/>
    <w:rsid w:val="00296EBD"/>
    <w:rsid w:val="00296F4E"/>
    <w:rsid w:val="00297C49"/>
    <w:rsid w:val="002A6F13"/>
    <w:rsid w:val="002B0313"/>
    <w:rsid w:val="002B2D13"/>
    <w:rsid w:val="002B5355"/>
    <w:rsid w:val="002B6019"/>
    <w:rsid w:val="002E7343"/>
    <w:rsid w:val="002E7735"/>
    <w:rsid w:val="002F3C4D"/>
    <w:rsid w:val="002F481B"/>
    <w:rsid w:val="002F4FD8"/>
    <w:rsid w:val="003000B9"/>
    <w:rsid w:val="00300F78"/>
    <w:rsid w:val="0030658E"/>
    <w:rsid w:val="00315CE0"/>
    <w:rsid w:val="003171DC"/>
    <w:rsid w:val="00321011"/>
    <w:rsid w:val="00321AF9"/>
    <w:rsid w:val="00327A23"/>
    <w:rsid w:val="00333A88"/>
    <w:rsid w:val="00335752"/>
    <w:rsid w:val="003363D2"/>
    <w:rsid w:val="003417C0"/>
    <w:rsid w:val="0034556E"/>
    <w:rsid w:val="00345921"/>
    <w:rsid w:val="00351EEA"/>
    <w:rsid w:val="00360919"/>
    <w:rsid w:val="00373580"/>
    <w:rsid w:val="00382E32"/>
    <w:rsid w:val="003A616B"/>
    <w:rsid w:val="003B5D49"/>
    <w:rsid w:val="003B7425"/>
    <w:rsid w:val="003B778C"/>
    <w:rsid w:val="003C7029"/>
    <w:rsid w:val="003D247A"/>
    <w:rsid w:val="003E3B0F"/>
    <w:rsid w:val="003E789E"/>
    <w:rsid w:val="003F30D5"/>
    <w:rsid w:val="004136CA"/>
    <w:rsid w:val="00415591"/>
    <w:rsid w:val="00415F20"/>
    <w:rsid w:val="00421C5D"/>
    <w:rsid w:val="00423FB7"/>
    <w:rsid w:val="0043008C"/>
    <w:rsid w:val="00444E52"/>
    <w:rsid w:val="00444F08"/>
    <w:rsid w:val="00446D09"/>
    <w:rsid w:val="00455A52"/>
    <w:rsid w:val="00456582"/>
    <w:rsid w:val="004667A6"/>
    <w:rsid w:val="00466B6A"/>
    <w:rsid w:val="00467139"/>
    <w:rsid w:val="00481CC5"/>
    <w:rsid w:val="00484DA5"/>
    <w:rsid w:val="004A1727"/>
    <w:rsid w:val="004A260C"/>
    <w:rsid w:val="004B49A0"/>
    <w:rsid w:val="004C2D7D"/>
    <w:rsid w:val="004C6B94"/>
    <w:rsid w:val="004E1148"/>
    <w:rsid w:val="004E1F76"/>
    <w:rsid w:val="004E2591"/>
    <w:rsid w:val="004E2D01"/>
    <w:rsid w:val="004E40E4"/>
    <w:rsid w:val="004E5168"/>
    <w:rsid w:val="004F1BAD"/>
    <w:rsid w:val="004F2E85"/>
    <w:rsid w:val="004F421F"/>
    <w:rsid w:val="00500262"/>
    <w:rsid w:val="00505F00"/>
    <w:rsid w:val="00513DDB"/>
    <w:rsid w:val="00520411"/>
    <w:rsid w:val="005254BA"/>
    <w:rsid w:val="00525B38"/>
    <w:rsid w:val="0052701D"/>
    <w:rsid w:val="0053058E"/>
    <w:rsid w:val="0054064F"/>
    <w:rsid w:val="005473E5"/>
    <w:rsid w:val="00556030"/>
    <w:rsid w:val="00556413"/>
    <w:rsid w:val="005569B6"/>
    <w:rsid w:val="00557CA8"/>
    <w:rsid w:val="005625B1"/>
    <w:rsid w:val="00562C6E"/>
    <w:rsid w:val="005708EB"/>
    <w:rsid w:val="0057443C"/>
    <w:rsid w:val="00580690"/>
    <w:rsid w:val="00585F4D"/>
    <w:rsid w:val="0059262F"/>
    <w:rsid w:val="0059595C"/>
    <w:rsid w:val="005A32C0"/>
    <w:rsid w:val="005A3642"/>
    <w:rsid w:val="005A5551"/>
    <w:rsid w:val="005B6E3A"/>
    <w:rsid w:val="005B74CC"/>
    <w:rsid w:val="005C4B62"/>
    <w:rsid w:val="005D59AB"/>
    <w:rsid w:val="005E0043"/>
    <w:rsid w:val="005E3980"/>
    <w:rsid w:val="005E574E"/>
    <w:rsid w:val="005E63C8"/>
    <w:rsid w:val="005F397D"/>
    <w:rsid w:val="005F48AB"/>
    <w:rsid w:val="005F65B3"/>
    <w:rsid w:val="00601E07"/>
    <w:rsid w:val="006026B1"/>
    <w:rsid w:val="0060314D"/>
    <w:rsid w:val="0061048E"/>
    <w:rsid w:val="00617203"/>
    <w:rsid w:val="0062131E"/>
    <w:rsid w:val="0062203A"/>
    <w:rsid w:val="00631A06"/>
    <w:rsid w:val="00634CA0"/>
    <w:rsid w:val="006357A0"/>
    <w:rsid w:val="0064195B"/>
    <w:rsid w:val="00642B3B"/>
    <w:rsid w:val="00653384"/>
    <w:rsid w:val="0065583D"/>
    <w:rsid w:val="00664D91"/>
    <w:rsid w:val="006663BB"/>
    <w:rsid w:val="0066736B"/>
    <w:rsid w:val="00672066"/>
    <w:rsid w:val="006A3468"/>
    <w:rsid w:val="006A64BE"/>
    <w:rsid w:val="006B192D"/>
    <w:rsid w:val="006B3449"/>
    <w:rsid w:val="006B3EAC"/>
    <w:rsid w:val="006B6FC7"/>
    <w:rsid w:val="006C7856"/>
    <w:rsid w:val="006D2F42"/>
    <w:rsid w:val="006E0CA7"/>
    <w:rsid w:val="006E1314"/>
    <w:rsid w:val="006F1471"/>
    <w:rsid w:val="0070574F"/>
    <w:rsid w:val="00706136"/>
    <w:rsid w:val="00722346"/>
    <w:rsid w:val="00724950"/>
    <w:rsid w:val="007320BA"/>
    <w:rsid w:val="00737099"/>
    <w:rsid w:val="00741516"/>
    <w:rsid w:val="00742347"/>
    <w:rsid w:val="00742AC7"/>
    <w:rsid w:val="007467E6"/>
    <w:rsid w:val="0074723D"/>
    <w:rsid w:val="007477C6"/>
    <w:rsid w:val="00750419"/>
    <w:rsid w:val="0076411C"/>
    <w:rsid w:val="00770B4D"/>
    <w:rsid w:val="00770F8D"/>
    <w:rsid w:val="00781C03"/>
    <w:rsid w:val="00781D5A"/>
    <w:rsid w:val="00783A05"/>
    <w:rsid w:val="00787FA6"/>
    <w:rsid w:val="00791A66"/>
    <w:rsid w:val="007A12E7"/>
    <w:rsid w:val="007A4E80"/>
    <w:rsid w:val="007B0657"/>
    <w:rsid w:val="007B3747"/>
    <w:rsid w:val="007B3CDF"/>
    <w:rsid w:val="007C0766"/>
    <w:rsid w:val="007C1D7E"/>
    <w:rsid w:val="007E5C02"/>
    <w:rsid w:val="007E719C"/>
    <w:rsid w:val="007F0717"/>
    <w:rsid w:val="007F0EA5"/>
    <w:rsid w:val="00802C3C"/>
    <w:rsid w:val="00807360"/>
    <w:rsid w:val="00817B5E"/>
    <w:rsid w:val="008207A8"/>
    <w:rsid w:val="00823C0B"/>
    <w:rsid w:val="00830777"/>
    <w:rsid w:val="008473B2"/>
    <w:rsid w:val="00857E71"/>
    <w:rsid w:val="00861715"/>
    <w:rsid w:val="0086449B"/>
    <w:rsid w:val="00874E48"/>
    <w:rsid w:val="00877B0D"/>
    <w:rsid w:val="00884BE5"/>
    <w:rsid w:val="00886BE2"/>
    <w:rsid w:val="00890127"/>
    <w:rsid w:val="0089324F"/>
    <w:rsid w:val="00893267"/>
    <w:rsid w:val="008B6AB1"/>
    <w:rsid w:val="008D1FB4"/>
    <w:rsid w:val="008E3424"/>
    <w:rsid w:val="008E6544"/>
    <w:rsid w:val="008E7338"/>
    <w:rsid w:val="008F4C75"/>
    <w:rsid w:val="009033A6"/>
    <w:rsid w:val="00904E57"/>
    <w:rsid w:val="00922566"/>
    <w:rsid w:val="00924896"/>
    <w:rsid w:val="00924B25"/>
    <w:rsid w:val="009338BE"/>
    <w:rsid w:val="0094016B"/>
    <w:rsid w:val="0094172A"/>
    <w:rsid w:val="00941A8C"/>
    <w:rsid w:val="009432F4"/>
    <w:rsid w:val="00944E9B"/>
    <w:rsid w:val="0094501D"/>
    <w:rsid w:val="00957355"/>
    <w:rsid w:val="00967BF3"/>
    <w:rsid w:val="0097232B"/>
    <w:rsid w:val="00977B99"/>
    <w:rsid w:val="00983481"/>
    <w:rsid w:val="00983A4E"/>
    <w:rsid w:val="00993AB0"/>
    <w:rsid w:val="009955FA"/>
    <w:rsid w:val="00997280"/>
    <w:rsid w:val="00997301"/>
    <w:rsid w:val="009A0065"/>
    <w:rsid w:val="009A280C"/>
    <w:rsid w:val="009A4ABE"/>
    <w:rsid w:val="009A4D08"/>
    <w:rsid w:val="009A78F7"/>
    <w:rsid w:val="009B2521"/>
    <w:rsid w:val="009B356A"/>
    <w:rsid w:val="009B58FE"/>
    <w:rsid w:val="009D5552"/>
    <w:rsid w:val="009E19B6"/>
    <w:rsid w:val="009E76C9"/>
    <w:rsid w:val="009F4ECF"/>
    <w:rsid w:val="00A0011F"/>
    <w:rsid w:val="00A00A1E"/>
    <w:rsid w:val="00A02C90"/>
    <w:rsid w:val="00A06525"/>
    <w:rsid w:val="00A06ED5"/>
    <w:rsid w:val="00A20984"/>
    <w:rsid w:val="00A21DB2"/>
    <w:rsid w:val="00A237A2"/>
    <w:rsid w:val="00A24827"/>
    <w:rsid w:val="00A24E12"/>
    <w:rsid w:val="00A27A61"/>
    <w:rsid w:val="00A31093"/>
    <w:rsid w:val="00A32653"/>
    <w:rsid w:val="00A348CF"/>
    <w:rsid w:val="00A37B6F"/>
    <w:rsid w:val="00A42F0A"/>
    <w:rsid w:val="00A4399E"/>
    <w:rsid w:val="00A44174"/>
    <w:rsid w:val="00A54CBB"/>
    <w:rsid w:val="00A6046C"/>
    <w:rsid w:val="00A60B41"/>
    <w:rsid w:val="00A72674"/>
    <w:rsid w:val="00A7329F"/>
    <w:rsid w:val="00A81450"/>
    <w:rsid w:val="00A92D6D"/>
    <w:rsid w:val="00AA2C3F"/>
    <w:rsid w:val="00AA33ED"/>
    <w:rsid w:val="00AA41C8"/>
    <w:rsid w:val="00AA6DA3"/>
    <w:rsid w:val="00AB131C"/>
    <w:rsid w:val="00AB706F"/>
    <w:rsid w:val="00AC5AA0"/>
    <w:rsid w:val="00AC6D3B"/>
    <w:rsid w:val="00AD1932"/>
    <w:rsid w:val="00AD30E3"/>
    <w:rsid w:val="00AD3ABF"/>
    <w:rsid w:val="00AD3DA8"/>
    <w:rsid w:val="00AE38C3"/>
    <w:rsid w:val="00AF41AE"/>
    <w:rsid w:val="00AF47E5"/>
    <w:rsid w:val="00AF5F1A"/>
    <w:rsid w:val="00B037EC"/>
    <w:rsid w:val="00B047B0"/>
    <w:rsid w:val="00B051CF"/>
    <w:rsid w:val="00B05276"/>
    <w:rsid w:val="00B100FB"/>
    <w:rsid w:val="00B10296"/>
    <w:rsid w:val="00B119DF"/>
    <w:rsid w:val="00B11BB1"/>
    <w:rsid w:val="00B13FC4"/>
    <w:rsid w:val="00B14B87"/>
    <w:rsid w:val="00B2190F"/>
    <w:rsid w:val="00B23CE7"/>
    <w:rsid w:val="00B279B8"/>
    <w:rsid w:val="00B27DA0"/>
    <w:rsid w:val="00B31818"/>
    <w:rsid w:val="00B35491"/>
    <w:rsid w:val="00B428BF"/>
    <w:rsid w:val="00B44498"/>
    <w:rsid w:val="00B5153E"/>
    <w:rsid w:val="00B60B11"/>
    <w:rsid w:val="00B623F1"/>
    <w:rsid w:val="00B646EE"/>
    <w:rsid w:val="00B80A96"/>
    <w:rsid w:val="00B9022E"/>
    <w:rsid w:val="00B97990"/>
    <w:rsid w:val="00BA0247"/>
    <w:rsid w:val="00BA2445"/>
    <w:rsid w:val="00BA597E"/>
    <w:rsid w:val="00BB285E"/>
    <w:rsid w:val="00BB31ED"/>
    <w:rsid w:val="00BC455F"/>
    <w:rsid w:val="00BC7D42"/>
    <w:rsid w:val="00BD4970"/>
    <w:rsid w:val="00BE3E49"/>
    <w:rsid w:val="00BE6EF1"/>
    <w:rsid w:val="00BF2776"/>
    <w:rsid w:val="00C10686"/>
    <w:rsid w:val="00C14DBD"/>
    <w:rsid w:val="00C15D45"/>
    <w:rsid w:val="00C166F4"/>
    <w:rsid w:val="00C16FCD"/>
    <w:rsid w:val="00C209A4"/>
    <w:rsid w:val="00C21DC0"/>
    <w:rsid w:val="00C315A3"/>
    <w:rsid w:val="00C31ABE"/>
    <w:rsid w:val="00C43248"/>
    <w:rsid w:val="00C6214E"/>
    <w:rsid w:val="00C66E50"/>
    <w:rsid w:val="00C67696"/>
    <w:rsid w:val="00C72433"/>
    <w:rsid w:val="00C73A07"/>
    <w:rsid w:val="00C80887"/>
    <w:rsid w:val="00C82F5E"/>
    <w:rsid w:val="00C84771"/>
    <w:rsid w:val="00C84CD7"/>
    <w:rsid w:val="00CA2891"/>
    <w:rsid w:val="00CB588C"/>
    <w:rsid w:val="00CB7131"/>
    <w:rsid w:val="00CB730D"/>
    <w:rsid w:val="00CC2ED6"/>
    <w:rsid w:val="00CC4134"/>
    <w:rsid w:val="00CD04A2"/>
    <w:rsid w:val="00CD2AB2"/>
    <w:rsid w:val="00CD3DE3"/>
    <w:rsid w:val="00CD6356"/>
    <w:rsid w:val="00CE4D6F"/>
    <w:rsid w:val="00CE70F0"/>
    <w:rsid w:val="00D03BA2"/>
    <w:rsid w:val="00D04C8A"/>
    <w:rsid w:val="00D06CA2"/>
    <w:rsid w:val="00D135A1"/>
    <w:rsid w:val="00D1664D"/>
    <w:rsid w:val="00D27687"/>
    <w:rsid w:val="00D27BB2"/>
    <w:rsid w:val="00D32CB3"/>
    <w:rsid w:val="00D37660"/>
    <w:rsid w:val="00D41C68"/>
    <w:rsid w:val="00D43766"/>
    <w:rsid w:val="00D472B3"/>
    <w:rsid w:val="00D51130"/>
    <w:rsid w:val="00D51D1B"/>
    <w:rsid w:val="00D53664"/>
    <w:rsid w:val="00D672C3"/>
    <w:rsid w:val="00D80A6F"/>
    <w:rsid w:val="00D84229"/>
    <w:rsid w:val="00D8497B"/>
    <w:rsid w:val="00D84DFF"/>
    <w:rsid w:val="00D92C8A"/>
    <w:rsid w:val="00DA72CF"/>
    <w:rsid w:val="00DB482A"/>
    <w:rsid w:val="00DB5968"/>
    <w:rsid w:val="00DB673E"/>
    <w:rsid w:val="00DC05A4"/>
    <w:rsid w:val="00DC0D5E"/>
    <w:rsid w:val="00DC3C37"/>
    <w:rsid w:val="00DC5DD1"/>
    <w:rsid w:val="00DC714F"/>
    <w:rsid w:val="00DD43EF"/>
    <w:rsid w:val="00DD4DC0"/>
    <w:rsid w:val="00DD50FC"/>
    <w:rsid w:val="00DD5367"/>
    <w:rsid w:val="00DD76B0"/>
    <w:rsid w:val="00DE0C24"/>
    <w:rsid w:val="00DE1730"/>
    <w:rsid w:val="00DE2648"/>
    <w:rsid w:val="00DE624A"/>
    <w:rsid w:val="00E02696"/>
    <w:rsid w:val="00E052E9"/>
    <w:rsid w:val="00E06C91"/>
    <w:rsid w:val="00E07373"/>
    <w:rsid w:val="00E135F1"/>
    <w:rsid w:val="00E14FDA"/>
    <w:rsid w:val="00E21FDB"/>
    <w:rsid w:val="00E24B20"/>
    <w:rsid w:val="00E27486"/>
    <w:rsid w:val="00E3202B"/>
    <w:rsid w:val="00E40797"/>
    <w:rsid w:val="00E45697"/>
    <w:rsid w:val="00E46016"/>
    <w:rsid w:val="00E539B5"/>
    <w:rsid w:val="00E63D7B"/>
    <w:rsid w:val="00E679B2"/>
    <w:rsid w:val="00E73FFE"/>
    <w:rsid w:val="00E80F43"/>
    <w:rsid w:val="00E860D9"/>
    <w:rsid w:val="00E90ED6"/>
    <w:rsid w:val="00E93B96"/>
    <w:rsid w:val="00E94B80"/>
    <w:rsid w:val="00E96748"/>
    <w:rsid w:val="00EA0ACD"/>
    <w:rsid w:val="00EA0CB5"/>
    <w:rsid w:val="00EB53E2"/>
    <w:rsid w:val="00EC5F7D"/>
    <w:rsid w:val="00ED14C4"/>
    <w:rsid w:val="00ED3021"/>
    <w:rsid w:val="00ED6909"/>
    <w:rsid w:val="00EE2FB2"/>
    <w:rsid w:val="00EE565B"/>
    <w:rsid w:val="00EF02E2"/>
    <w:rsid w:val="00EF1428"/>
    <w:rsid w:val="00EF1549"/>
    <w:rsid w:val="00EF5548"/>
    <w:rsid w:val="00EF7B88"/>
    <w:rsid w:val="00F07FE9"/>
    <w:rsid w:val="00F13DCB"/>
    <w:rsid w:val="00F1544B"/>
    <w:rsid w:val="00F1689C"/>
    <w:rsid w:val="00F202CD"/>
    <w:rsid w:val="00F21D12"/>
    <w:rsid w:val="00F30ECA"/>
    <w:rsid w:val="00F4647D"/>
    <w:rsid w:val="00F515B1"/>
    <w:rsid w:val="00F515F5"/>
    <w:rsid w:val="00F54A8D"/>
    <w:rsid w:val="00F6129D"/>
    <w:rsid w:val="00F612DA"/>
    <w:rsid w:val="00F61B3F"/>
    <w:rsid w:val="00F70FC6"/>
    <w:rsid w:val="00F7174B"/>
    <w:rsid w:val="00FA037A"/>
    <w:rsid w:val="00FA32CF"/>
    <w:rsid w:val="00FA5CAE"/>
    <w:rsid w:val="00FA678B"/>
    <w:rsid w:val="00FA79B1"/>
    <w:rsid w:val="00FB041A"/>
    <w:rsid w:val="00FB535A"/>
    <w:rsid w:val="00FB6C08"/>
    <w:rsid w:val="00FC0F73"/>
    <w:rsid w:val="00FC3157"/>
    <w:rsid w:val="00FC5C43"/>
    <w:rsid w:val="00FD423B"/>
    <w:rsid w:val="00FD7018"/>
    <w:rsid w:val="00FE0706"/>
    <w:rsid w:val="00FE0927"/>
    <w:rsid w:val="00FE215E"/>
    <w:rsid w:val="00FF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5168B"/>
  <w15:docId w15:val="{39CCD6FC-0965-4210-B36B-A41997A3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D53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VVlaamsParlement">
    <w:name w:val="SV Vlaams Parlement"/>
    <w:basedOn w:val="Standaard"/>
    <w:rsid w:val="00DD5367"/>
    <w:pPr>
      <w:jc w:val="both"/>
    </w:pPr>
    <w:rPr>
      <w:b/>
      <w:smallCaps/>
      <w:sz w:val="22"/>
    </w:rPr>
  </w:style>
  <w:style w:type="paragraph" w:customStyle="1" w:styleId="StandaardSV">
    <w:name w:val="Standaard SV"/>
    <w:basedOn w:val="Standaard"/>
    <w:rsid w:val="00DD5367"/>
    <w:pPr>
      <w:jc w:val="both"/>
    </w:pPr>
    <w:rPr>
      <w:sz w:val="22"/>
    </w:rPr>
  </w:style>
  <w:style w:type="paragraph" w:styleId="Lijstalinea">
    <w:name w:val="List Paragraph"/>
    <w:basedOn w:val="Standaard"/>
    <w:uiPriority w:val="34"/>
    <w:qFormat/>
    <w:rsid w:val="00B11BB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37B6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7B6F"/>
    <w:rPr>
      <w:rFonts w:ascii="Tahoma" w:eastAsia="Times New Roman" w:hAnsi="Tahoma" w:cs="Tahoma"/>
      <w:sz w:val="16"/>
      <w:szCs w:val="16"/>
      <w:lang w:val="nl-NL" w:eastAsia="nl-NL"/>
    </w:rPr>
  </w:style>
  <w:style w:type="paragraph" w:customStyle="1" w:styleId="StijlStandaardSVVerdana10ptCursiefLinks-175cm">
    <w:name w:val="Stijl Standaard SV + Verdana 10 pt Cursief Links:  -175 cm"/>
    <w:basedOn w:val="StandaardSV"/>
    <w:rsid w:val="00FC3157"/>
    <w:rPr>
      <w:rFonts w:ascii="Verdana" w:hAnsi="Verdana"/>
      <w:i/>
      <w:iCs/>
      <w:sz w:val="20"/>
    </w:rPr>
  </w:style>
  <w:style w:type="character" w:styleId="Hyperlink">
    <w:name w:val="Hyperlink"/>
    <w:basedOn w:val="Standaardalinea-lettertype"/>
    <w:uiPriority w:val="99"/>
    <w:unhideWhenUsed/>
    <w:rsid w:val="00B05276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05276"/>
    <w:rPr>
      <w:color w:val="800080" w:themeColor="followedHyperlink"/>
      <w:u w:val="single"/>
    </w:rPr>
  </w:style>
  <w:style w:type="table" w:styleId="Tabelraster">
    <w:name w:val="Table Grid"/>
    <w:basedOn w:val="Standaardtabel"/>
    <w:uiPriority w:val="59"/>
    <w:rsid w:val="002B0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jschrift">
    <w:name w:val="caption"/>
    <w:basedOn w:val="Standaard"/>
    <w:next w:val="Standaard"/>
    <w:uiPriority w:val="35"/>
    <w:unhideWhenUsed/>
    <w:qFormat/>
    <w:rsid w:val="00115E01"/>
    <w:pPr>
      <w:spacing w:after="200"/>
    </w:pPr>
    <w:rPr>
      <w:i/>
      <w:iCs/>
      <w:color w:val="1F497D" w:themeColor="text2"/>
      <w:sz w:val="18"/>
      <w:szCs w:val="18"/>
    </w:rPr>
  </w:style>
  <w:style w:type="character" w:styleId="Voetnootmarkering">
    <w:name w:val="footnote reference"/>
    <w:semiHidden/>
    <w:rsid w:val="00877B0D"/>
    <w:rPr>
      <w:rFonts w:cs="Times New Roman"/>
      <w:vertAlign w:val="superscript"/>
    </w:rPr>
  </w:style>
  <w:style w:type="paragraph" w:styleId="Voetnoottekst">
    <w:name w:val="footnote text"/>
    <w:basedOn w:val="Standaard"/>
    <w:link w:val="VoetnoottekstChar"/>
    <w:unhideWhenUsed/>
    <w:rsid w:val="00877B0D"/>
    <w:rPr>
      <w:rFonts w:ascii="Calibri" w:hAnsi="Calibri" w:cs="Calibri"/>
      <w:sz w:val="20"/>
      <w:lang w:val="nl-BE" w:eastAsia="en-US"/>
    </w:rPr>
  </w:style>
  <w:style w:type="character" w:customStyle="1" w:styleId="VoetnoottekstChar">
    <w:name w:val="Voetnoottekst Char"/>
    <w:basedOn w:val="Standaardalinea-lettertype"/>
    <w:link w:val="Voetnoottekst"/>
    <w:rsid w:val="00877B0D"/>
    <w:rPr>
      <w:rFonts w:ascii="Calibri" w:eastAsia="Times New Roman" w:hAnsi="Calibri" w:cs="Calibri"/>
      <w:sz w:val="20"/>
      <w:szCs w:val="20"/>
    </w:rPr>
  </w:style>
  <w:style w:type="paragraph" w:styleId="Revisie">
    <w:name w:val="Revision"/>
    <w:hidden/>
    <w:uiPriority w:val="99"/>
    <w:semiHidden/>
    <w:rsid w:val="00333A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57CA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57CA8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57CA8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57CA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57CA8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Koptekst">
    <w:name w:val="header"/>
    <w:basedOn w:val="Standaard"/>
    <w:link w:val="KoptekstChar"/>
    <w:uiPriority w:val="99"/>
    <w:semiHidden/>
    <w:unhideWhenUsed/>
    <w:rsid w:val="006026B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6026B1"/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6026B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6026B1"/>
    <w:rPr>
      <w:rFonts w:ascii="Times New Roman" w:eastAsia="Times New Roman" w:hAnsi="Times New Roman" w:cs="Times New Roman"/>
      <w:sz w:val="24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dhsustainabletrade.com/uploaded/2020/05/IDH-European-Soy-Monitor-v2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16F35AF2CB9468CD9A6F9808E74AF" ma:contentTypeVersion="12" ma:contentTypeDescription="Een nieuw document maken." ma:contentTypeScope="" ma:versionID="78227bb5f729cd9977e95a665926c989">
  <xsd:schema xmlns:xsd="http://www.w3.org/2001/XMLSchema" xmlns:xs="http://www.w3.org/2001/XMLSchema" xmlns:p="http://schemas.microsoft.com/office/2006/metadata/properties" xmlns:ns2="03d5240a-782c-4048-8313-d01b5d6ab2a6" xmlns:ns3="ceeae0c4-f3ff-4153-af2f-582bafa5e89e" targetNamespace="http://schemas.microsoft.com/office/2006/metadata/properties" ma:root="true" ma:fieldsID="69014e500e6869c5da9838b8907addec" ns2:_="" ns3:_="">
    <xsd:import namespace="03d5240a-782c-4048-8313-d01b5d6ab2a6"/>
    <xsd:import namespace="ceeae0c4-f3ff-4153-af2f-582bafa5e8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5240a-782c-4048-8313-d01b5d6ab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ae0c4-f3ff-4153-af2f-582bafa5e8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4DC31-0739-4C15-B076-F1A0253F63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7351FB-3E04-4A04-A376-B9B4463F06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53B3B0-C3C9-4EB4-AF79-3AA825998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5240a-782c-4048-8313-d01b5d6ab2a6"/>
    <ds:schemaRef ds:uri="ceeae0c4-f3ff-4153-af2f-582bafa5e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F5CABF-CEF2-4A9C-9F59-007AC9AAA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 Parlement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wro</dc:creator>
  <cp:lastModifiedBy>Nathalie De Keyzer</cp:lastModifiedBy>
  <cp:revision>5</cp:revision>
  <cp:lastPrinted>2014-08-28T11:14:00Z</cp:lastPrinted>
  <dcterms:created xsi:type="dcterms:W3CDTF">2021-01-05T22:20:00Z</dcterms:created>
  <dcterms:modified xsi:type="dcterms:W3CDTF">2021-01-19T11:29:00Z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0x0101002E216F35AF2CB9468CD9A6F9808E74AF</vt:lpwstr>
  </property>
  <property fmtid="{D5CDD505-2E9C-101B-9397-08002B2CF9AE}" pid="3" name="_dlc_DocIdItemGuid">
    <vt:lpwstr>be4cce35-1ba0-40f1-bb4a-3d4c385fb951</vt:lpwstr>
  </property>
  <property fmtid="{D5CDD505-2E9C-101B-9397-08002B2CF9AE}" pid="4" name="_docset_NoMedatataSyncRequired">
    <vt:lpwstr>False</vt:lpwstr>
  </property>
</Properties>
</file>