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6D7B68" w14:textId="41182452" w:rsidR="00A40AA4" w:rsidRPr="00B02D0B" w:rsidRDefault="00A40AA4" w:rsidP="00A40AA4">
      <w:pPr>
        <w:pStyle w:val="Titre1"/>
        <w:jc w:val="center"/>
      </w:pPr>
      <w:bookmarkStart w:id="0" w:name="_Toc446319072"/>
      <w:r>
        <w:drawing>
          <wp:anchor distT="0" distB="0" distL="114300" distR="114300" simplePos="0" relativeHeight="251659264" behindDoc="0" locked="0" layoutInCell="1" allowOverlap="1" wp14:anchorId="5C5518EF" wp14:editId="580B24C1">
            <wp:simplePos x="0" y="0"/>
            <wp:positionH relativeFrom="column">
              <wp:posOffset>-125730</wp:posOffset>
            </wp:positionH>
            <wp:positionV relativeFrom="page">
              <wp:posOffset>454660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val="0"/>
        </w:rPr>
        <w:t>C</w:t>
      </w:r>
      <w:r w:rsidRPr="00B02D0B">
        <w:rPr>
          <w:caps w:val="0"/>
        </w:rPr>
        <w:t xml:space="preserve">entre Pilote Pomme </w:t>
      </w:r>
      <w:r w:rsidR="00B93B93">
        <w:rPr>
          <w:caps w:val="0"/>
        </w:rPr>
        <w:t>d</w:t>
      </w:r>
      <w:r w:rsidRPr="00B02D0B">
        <w:rPr>
          <w:caps w:val="0"/>
        </w:rPr>
        <w:t xml:space="preserve">e </w:t>
      </w:r>
      <w:r w:rsidR="00B93B93">
        <w:rPr>
          <w:caps w:val="0"/>
        </w:rPr>
        <w:t>t</w:t>
      </w:r>
      <w:r w:rsidRPr="00B02D0B">
        <w:rPr>
          <w:caps w:val="0"/>
        </w:rPr>
        <w:t>erre</w:t>
      </w:r>
      <w:r w:rsidRPr="00B02D0B">
        <w:rPr>
          <w:rStyle w:val="Appelnotedebasdep"/>
          <w:rFonts w:cstheme="minorHAnsi"/>
          <w:bCs/>
          <w:sz w:val="32"/>
          <w:szCs w:val="32"/>
        </w:rPr>
        <w:footnoteReference w:id="1"/>
      </w:r>
    </w:p>
    <w:p w14:paraId="2E189786" w14:textId="77777777" w:rsidR="0019207F" w:rsidRDefault="00A40AA4" w:rsidP="00A40AA4">
      <w:pPr>
        <w:pStyle w:val="Titre2"/>
        <w:jc w:val="center"/>
      </w:pPr>
      <w:r w:rsidRPr="00B02D0B">
        <w:t xml:space="preserve">Evaluation des stocks belges </w:t>
      </w:r>
    </w:p>
    <w:p w14:paraId="002419D4" w14:textId="01ECFC11" w:rsidR="00A40AA4" w:rsidRPr="00B02D0B" w:rsidRDefault="00A40AA4" w:rsidP="00A40AA4">
      <w:pPr>
        <w:pStyle w:val="Titre2"/>
        <w:jc w:val="center"/>
      </w:pPr>
      <w:r w:rsidRPr="00B02D0B">
        <w:t>de pomme de terre</w:t>
      </w:r>
      <w:r>
        <w:t xml:space="preserve"> </w:t>
      </w:r>
      <w:r w:rsidRPr="00B02D0B">
        <w:t>au 1</w:t>
      </w:r>
      <w:r w:rsidRPr="00B02D0B">
        <w:rPr>
          <w:vertAlign w:val="superscript"/>
        </w:rPr>
        <w:t>er</w:t>
      </w:r>
      <w:r w:rsidRPr="00B02D0B">
        <w:t xml:space="preserve"> </w:t>
      </w:r>
      <w:r>
        <w:t>avril</w:t>
      </w:r>
      <w:r w:rsidRPr="00B02D0B">
        <w:t xml:space="preserve"> 202</w:t>
      </w:r>
      <w:r w:rsidR="0089233F">
        <w:t>4</w:t>
      </w:r>
    </w:p>
    <w:bookmarkEnd w:id="0"/>
    <w:p w14:paraId="50D191D4" w14:textId="77777777" w:rsidR="009E5DFE" w:rsidRPr="009E5DFE" w:rsidRDefault="009E5DFE" w:rsidP="009E5DFE">
      <w:pPr>
        <w:rPr>
          <w:sz w:val="8"/>
          <w:szCs w:val="8"/>
        </w:rPr>
      </w:pPr>
    </w:p>
    <w:p w14:paraId="07160768" w14:textId="5B333C4E" w:rsidR="00A40AA4" w:rsidRPr="00DF2A88" w:rsidRDefault="00A40AA4" w:rsidP="00A40AA4">
      <w:pPr>
        <w:pBdr>
          <w:top w:val="single" w:sz="4" w:space="1" w:color="auto"/>
          <w:left w:val="single" w:sz="4" w:space="4" w:color="auto"/>
          <w:bottom w:val="single" w:sz="4" w:space="1" w:color="auto"/>
          <w:right w:val="single" w:sz="4" w:space="4" w:color="auto"/>
        </w:pBdr>
        <w:rPr>
          <w:rFonts w:cstheme="minorHAnsi"/>
        </w:rPr>
      </w:pPr>
      <w:r w:rsidRPr="000B5611">
        <w:rPr>
          <w:rFonts w:cstheme="minorHAnsi"/>
        </w:rPr>
        <w:t>L'évaluation des stocks en cours de commercialisation reste un élément de première importance pour appréhender l'évolution des marchés. Pour la 2</w:t>
      </w:r>
      <w:r w:rsidR="0089233F">
        <w:rPr>
          <w:rFonts w:cstheme="minorHAnsi"/>
        </w:rPr>
        <w:t>7</w:t>
      </w:r>
      <w:r w:rsidRPr="000B5611">
        <w:rPr>
          <w:rFonts w:cstheme="minorHAnsi"/>
          <w:vertAlign w:val="superscript"/>
        </w:rPr>
        <w:t>ème</w:t>
      </w:r>
      <w:r w:rsidRPr="000B5611">
        <w:rPr>
          <w:rFonts w:cstheme="minorHAnsi"/>
        </w:rPr>
        <w:t xml:space="preserve"> </w:t>
      </w:r>
      <w:r w:rsidRPr="0089233F">
        <w:rPr>
          <w:rFonts w:cstheme="minorHAnsi"/>
        </w:rPr>
        <w:t>année consécutive, une enquête est menée par la Fiwap</w:t>
      </w:r>
      <w:r w:rsidRPr="0089233F">
        <w:rPr>
          <w:rStyle w:val="Appelnotedebasdep"/>
          <w:rFonts w:cstheme="minorHAnsi"/>
        </w:rPr>
        <w:footnoteReference w:id="2"/>
      </w:r>
      <w:r w:rsidRPr="0089233F">
        <w:rPr>
          <w:rFonts w:cstheme="minorHAnsi"/>
        </w:rPr>
        <w:t>, le Carah</w:t>
      </w:r>
      <w:r w:rsidRPr="0089233F">
        <w:rPr>
          <w:rStyle w:val="Appelnotedebasdep"/>
          <w:rFonts w:cstheme="minorHAnsi"/>
        </w:rPr>
        <w:footnoteReference w:id="3"/>
      </w:r>
      <w:r w:rsidRPr="0089233F">
        <w:rPr>
          <w:rFonts w:cstheme="minorHAnsi"/>
        </w:rPr>
        <w:t xml:space="preserve"> et Inagro/</w:t>
      </w:r>
      <w:r w:rsidR="00E93E84">
        <w:rPr>
          <w:rFonts w:cstheme="minorHAnsi"/>
        </w:rPr>
        <w:t xml:space="preserve">Viaverda (ex </w:t>
      </w:r>
      <w:r w:rsidRPr="0089233F">
        <w:rPr>
          <w:rFonts w:cstheme="minorHAnsi"/>
        </w:rPr>
        <w:t>PCA</w:t>
      </w:r>
      <w:r w:rsidRPr="0089233F">
        <w:rPr>
          <w:rStyle w:val="Appelnotedebasdep"/>
          <w:rFonts w:cstheme="minorHAnsi"/>
        </w:rPr>
        <w:footnoteReference w:id="4"/>
      </w:r>
      <w:r w:rsidR="00E93E84">
        <w:rPr>
          <w:rFonts w:cstheme="minorHAnsi"/>
        </w:rPr>
        <w:t>)</w:t>
      </w:r>
      <w:r w:rsidRPr="0089233F">
        <w:rPr>
          <w:rFonts w:cstheme="minorHAnsi"/>
        </w:rPr>
        <w:t xml:space="preserve"> auprès de 2</w:t>
      </w:r>
      <w:r w:rsidR="0089233F" w:rsidRPr="0089233F">
        <w:rPr>
          <w:rFonts w:cstheme="minorHAnsi"/>
        </w:rPr>
        <w:t>22</w:t>
      </w:r>
      <w:r w:rsidRPr="0089233F">
        <w:rPr>
          <w:rFonts w:cstheme="minorHAnsi"/>
        </w:rPr>
        <w:t xml:space="preserve"> producteurs belges de pomme de terre. En </w:t>
      </w:r>
      <w:r w:rsidRPr="0089233F">
        <w:rPr>
          <w:rFonts w:cstheme="minorHAnsi"/>
          <w:b/>
          <w:bCs/>
        </w:rPr>
        <w:t>Wallonie</w:t>
      </w:r>
      <w:r w:rsidRPr="0089233F">
        <w:rPr>
          <w:rFonts w:cstheme="minorHAnsi"/>
        </w:rPr>
        <w:t xml:space="preserve">, </w:t>
      </w:r>
      <w:r w:rsidR="0089233F" w:rsidRPr="0089233F">
        <w:rPr>
          <w:rFonts w:cstheme="minorHAnsi"/>
        </w:rPr>
        <w:t>94</w:t>
      </w:r>
      <w:r w:rsidRPr="0089233F">
        <w:rPr>
          <w:rFonts w:cstheme="minorHAnsi"/>
        </w:rPr>
        <w:t xml:space="preserve"> agriculteurs ont accepté de répondre à l’enquête, avec une proportion représentative des surfaces pour chaque province (Brabant : 1</w:t>
      </w:r>
      <w:r w:rsidR="0089233F" w:rsidRPr="0089233F">
        <w:rPr>
          <w:rFonts w:cstheme="minorHAnsi"/>
        </w:rPr>
        <w:t>4</w:t>
      </w:r>
      <w:r w:rsidRPr="0089233F">
        <w:rPr>
          <w:rFonts w:cstheme="minorHAnsi"/>
        </w:rPr>
        <w:t xml:space="preserve"> agriculteurs</w:t>
      </w:r>
      <w:r w:rsidRPr="002A3029">
        <w:rPr>
          <w:rFonts w:cstheme="minorHAnsi"/>
        </w:rPr>
        <w:t xml:space="preserve"> ; Liège : </w:t>
      </w:r>
      <w:r w:rsidR="0089233F">
        <w:rPr>
          <w:rFonts w:cstheme="minorHAnsi"/>
        </w:rPr>
        <w:t>11</w:t>
      </w:r>
      <w:r w:rsidRPr="002A3029">
        <w:rPr>
          <w:rFonts w:cstheme="minorHAnsi"/>
        </w:rPr>
        <w:t> ; Namur : 1</w:t>
      </w:r>
      <w:r w:rsidR="0089233F">
        <w:rPr>
          <w:rFonts w:cstheme="minorHAnsi"/>
        </w:rPr>
        <w:t>6</w:t>
      </w:r>
      <w:r w:rsidRPr="002A3029">
        <w:rPr>
          <w:rFonts w:cstheme="minorHAnsi"/>
        </w:rPr>
        <w:t xml:space="preserve"> ; Hainaut : </w:t>
      </w:r>
      <w:r w:rsidR="0089233F">
        <w:rPr>
          <w:rFonts w:cstheme="minorHAnsi"/>
        </w:rPr>
        <w:t>53</w:t>
      </w:r>
      <w:r w:rsidRPr="002A3029">
        <w:rPr>
          <w:rFonts w:cstheme="minorHAnsi"/>
        </w:rPr>
        <w:t xml:space="preserve">). </w:t>
      </w:r>
      <w:r w:rsidRPr="002A3029">
        <w:rPr>
          <w:rFonts w:cstheme="minorHAnsi"/>
          <w:shd w:val="clear" w:color="auto" w:fill="FFFFFF" w:themeFill="background1"/>
        </w:rPr>
        <w:t xml:space="preserve">En </w:t>
      </w:r>
      <w:r w:rsidRPr="002A3029">
        <w:rPr>
          <w:rFonts w:cstheme="minorHAnsi"/>
          <w:b/>
          <w:shd w:val="clear" w:color="auto" w:fill="FFFFFF" w:themeFill="background1"/>
        </w:rPr>
        <w:t>Flandre</w:t>
      </w:r>
      <w:r w:rsidRPr="002A3029">
        <w:rPr>
          <w:rFonts w:cstheme="minorHAnsi"/>
          <w:shd w:val="clear" w:color="auto" w:fill="FFFFFF" w:themeFill="background1"/>
        </w:rPr>
        <w:t xml:space="preserve"> l’enquête a permis de </w:t>
      </w:r>
      <w:r w:rsidRPr="0089233F">
        <w:rPr>
          <w:rFonts w:cstheme="minorHAnsi"/>
          <w:shd w:val="clear" w:color="auto" w:fill="FFFFFF" w:themeFill="background1"/>
        </w:rPr>
        <w:t>contacter 12</w:t>
      </w:r>
      <w:r w:rsidR="0089233F" w:rsidRPr="0089233F">
        <w:rPr>
          <w:rFonts w:cstheme="minorHAnsi"/>
          <w:shd w:val="clear" w:color="auto" w:fill="FFFFFF" w:themeFill="background1"/>
        </w:rPr>
        <w:t>8</w:t>
      </w:r>
      <w:r w:rsidRPr="002A3029">
        <w:rPr>
          <w:rFonts w:cstheme="minorHAnsi"/>
          <w:shd w:val="clear" w:color="auto" w:fill="FFFFFF" w:themeFill="background1"/>
        </w:rPr>
        <w:t xml:space="preserve"> producteurs</w:t>
      </w:r>
      <w:r w:rsidRPr="0019207F">
        <w:rPr>
          <w:rFonts w:cstheme="minorHAnsi"/>
          <w:shd w:val="clear" w:color="auto" w:fill="FFFFFF" w:themeFill="background1"/>
        </w:rPr>
        <w:t xml:space="preserve"> de pomme de terre de consommation.</w:t>
      </w:r>
    </w:p>
    <w:p w14:paraId="01055EA9" w14:textId="492DD240" w:rsidR="00EB41BB" w:rsidRPr="0089233F" w:rsidRDefault="00196A2F" w:rsidP="0089233F">
      <w:pPr>
        <w:pStyle w:val="Titre3"/>
        <w:rPr>
          <w:lang w:val="fr-FR"/>
        </w:rPr>
        <w:sectPr w:rsidR="00EB41BB" w:rsidRPr="0089233F" w:rsidSect="00A6037C">
          <w:headerReference w:type="even" r:id="rId9"/>
          <w:headerReference w:type="default" r:id="rId10"/>
          <w:footerReference w:type="default" r:id="rId11"/>
          <w:headerReference w:type="first" r:id="rId12"/>
          <w:footerReference w:type="first" r:id="rId13"/>
          <w:type w:val="continuous"/>
          <w:pgSz w:w="11906" w:h="16838" w:code="9"/>
          <w:pgMar w:top="851" w:right="851" w:bottom="1276" w:left="851" w:header="737" w:footer="57" w:gutter="0"/>
          <w:cols w:sep="1" w:space="709"/>
          <w:titlePg/>
          <w:docGrid w:linePitch="360"/>
        </w:sectPr>
      </w:pPr>
      <w:r w:rsidRPr="00196A2F">
        <w:rPr>
          <w:lang w:val="fr-FR"/>
        </w:rPr>
        <w:t xml:space="preserve">Evolution des stocks belges depuis </w:t>
      </w:r>
      <w:r w:rsidR="00E5572D">
        <w:rPr>
          <w:lang w:val="fr-FR"/>
        </w:rPr>
        <w:t xml:space="preserve">la </w:t>
      </w:r>
      <w:r w:rsidRPr="00196A2F">
        <w:rPr>
          <w:lang w:val="fr-FR"/>
        </w:rPr>
        <w:t>récolte 20</w:t>
      </w:r>
      <w:r>
        <w:rPr>
          <w:lang w:val="fr-FR"/>
        </w:rPr>
        <w:t>2</w:t>
      </w:r>
      <w:r w:rsidR="0089233F">
        <w:rPr>
          <w:lang w:val="fr-FR"/>
        </w:rPr>
        <w:t>3</w:t>
      </w:r>
      <w:r w:rsidRPr="00196A2F">
        <w:rPr>
          <w:lang w:val="fr-FR"/>
        </w:rPr>
        <w:t xml:space="preserve"> jusque début avril 202</w:t>
      </w:r>
      <w:r w:rsidR="0089233F">
        <w:rPr>
          <w:lang w:val="fr-FR"/>
        </w:rPr>
        <w:t>4</w:t>
      </w:r>
    </w:p>
    <w:p w14:paraId="2CEC6CD1" w14:textId="54C1B442" w:rsidR="00EB41BB" w:rsidRDefault="00EB41BB" w:rsidP="00B93B93">
      <w:pPr>
        <w:pStyle w:val="Lgende"/>
        <w:ind w:left="993" w:hanging="993"/>
      </w:pPr>
      <w:r w:rsidRPr="00B93B93">
        <w:rPr>
          <w:u w:val="single"/>
        </w:rPr>
        <w:t>Tableau</w:t>
      </w:r>
      <w:r w:rsidR="00106026" w:rsidRPr="00B93B93">
        <w:rPr>
          <w:u w:val="single"/>
        </w:rPr>
        <w:t xml:space="preserve"> </w:t>
      </w:r>
      <w:r w:rsidR="009E75B7" w:rsidRPr="00B93B93">
        <w:rPr>
          <w:u w:val="single"/>
        </w:rPr>
        <w:t>1 :</w:t>
      </w:r>
      <w:r w:rsidR="0050695D" w:rsidRPr="00B93B93">
        <w:t xml:space="preserve"> </w:t>
      </w:r>
      <w:r w:rsidR="00E85570" w:rsidRPr="00B93B93">
        <w:rPr>
          <w:rFonts w:ascii="Arial Narrow" w:hAnsi="Arial Narrow"/>
          <w:sz w:val="20"/>
        </w:rPr>
        <w:t xml:space="preserve">Bilan de l’évolution des stocks en Belgique </w:t>
      </w:r>
      <w:r w:rsidR="00E5572D">
        <w:rPr>
          <w:rFonts w:ascii="Arial Narrow" w:hAnsi="Arial Narrow"/>
          <w:sz w:val="20"/>
        </w:rPr>
        <w:t xml:space="preserve">de la </w:t>
      </w:r>
      <w:r w:rsidR="00E85570" w:rsidRPr="00B93B93">
        <w:rPr>
          <w:rFonts w:ascii="Arial Narrow" w:hAnsi="Arial Narrow"/>
          <w:sz w:val="20"/>
        </w:rPr>
        <w:t>production 202</w:t>
      </w:r>
      <w:r w:rsidR="0089233F">
        <w:rPr>
          <w:rFonts w:ascii="Arial Narrow" w:hAnsi="Arial Narrow"/>
          <w:sz w:val="20"/>
        </w:rPr>
        <w:t>3</w:t>
      </w:r>
      <w:r w:rsidR="00E85570" w:rsidRPr="00B93B93">
        <w:rPr>
          <w:rFonts w:ascii="Arial Narrow" w:hAnsi="Arial Narrow"/>
          <w:sz w:val="20"/>
        </w:rPr>
        <w:t xml:space="preserve"> (échantillon : 1</w:t>
      </w:r>
      <w:r w:rsidR="00B93B93" w:rsidRPr="00B93B93">
        <w:rPr>
          <w:rFonts w:ascii="Arial Narrow" w:hAnsi="Arial Narrow"/>
          <w:sz w:val="20"/>
        </w:rPr>
        <w:t>2</w:t>
      </w:r>
      <w:r w:rsidR="0089233F">
        <w:rPr>
          <w:rFonts w:ascii="Arial Narrow" w:hAnsi="Arial Narrow"/>
          <w:sz w:val="20"/>
        </w:rPr>
        <w:t>8</w:t>
      </w:r>
      <w:r w:rsidR="00E85570" w:rsidRPr="00B93B93">
        <w:rPr>
          <w:rFonts w:ascii="Arial Narrow" w:hAnsi="Arial Narrow"/>
          <w:sz w:val="20"/>
        </w:rPr>
        <w:t xml:space="preserve"> producteurs en Flandre + </w:t>
      </w:r>
      <w:r w:rsidR="0089233F">
        <w:rPr>
          <w:rFonts w:ascii="Arial Narrow" w:hAnsi="Arial Narrow"/>
          <w:sz w:val="20"/>
        </w:rPr>
        <w:t>94</w:t>
      </w:r>
      <w:r w:rsidR="00E85570" w:rsidRPr="00B93B93">
        <w:rPr>
          <w:rFonts w:ascii="Arial Narrow" w:hAnsi="Arial Narrow"/>
          <w:sz w:val="20"/>
        </w:rPr>
        <w:t xml:space="preserve"> producteurs en Wallonie) : en % de la production initiale de variétés de conservation (hors hâtives)</w:t>
      </w:r>
    </w:p>
    <w:tbl>
      <w:tblPr>
        <w:tblStyle w:val="TableauGrille4-Accentuation1"/>
        <w:tblW w:w="12928" w:type="dxa"/>
        <w:tblLook w:val="04A0" w:firstRow="1" w:lastRow="0" w:firstColumn="1" w:lastColumn="0" w:noHBand="0" w:noVBand="1"/>
      </w:tblPr>
      <w:tblGrid>
        <w:gridCol w:w="3964"/>
        <w:gridCol w:w="874"/>
        <w:gridCol w:w="969"/>
        <w:gridCol w:w="1213"/>
        <w:gridCol w:w="992"/>
        <w:gridCol w:w="992"/>
        <w:gridCol w:w="829"/>
        <w:gridCol w:w="3095"/>
      </w:tblGrid>
      <w:tr w:rsidR="00196A2F" w:rsidRPr="00314829" w14:paraId="4DE33D06" w14:textId="77777777" w:rsidTr="006C6680">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3964" w:type="dxa"/>
            <w:tcBorders>
              <w:right w:val="single" w:sz="4" w:space="0" w:color="DAEFD3" w:themeColor="accent1" w:themeTint="33"/>
            </w:tcBorders>
            <w:vAlign w:val="center"/>
          </w:tcPr>
          <w:p w14:paraId="1CE71741" w14:textId="52627815" w:rsidR="00196A2F" w:rsidRPr="00314829" w:rsidRDefault="00196A2F" w:rsidP="00196A2F">
            <w:pPr>
              <w:rPr>
                <w:b w:val="0"/>
                <w:sz w:val="18"/>
                <w:szCs w:val="18"/>
              </w:rPr>
            </w:pPr>
            <w:r w:rsidRPr="00314829">
              <w:rPr>
                <w:rFonts w:ascii="Arial" w:hAnsi="Arial" w:cs="Arial"/>
                <w:i/>
                <w:iCs/>
                <w:sz w:val="18"/>
                <w:szCs w:val="18"/>
              </w:rPr>
              <w:t>Belgique</w:t>
            </w:r>
          </w:p>
        </w:tc>
        <w:tc>
          <w:tcPr>
            <w:tcW w:w="874" w:type="dxa"/>
            <w:tcBorders>
              <w:left w:val="single" w:sz="4" w:space="0" w:color="DAEFD3" w:themeColor="accent1" w:themeTint="33"/>
              <w:right w:val="single" w:sz="4" w:space="0" w:color="DAEFD3" w:themeColor="accent1" w:themeTint="33"/>
            </w:tcBorders>
            <w:vAlign w:val="center"/>
          </w:tcPr>
          <w:p w14:paraId="6873D71A" w14:textId="26A59BF7" w:rsidR="00196A2F" w:rsidRPr="00314829" w:rsidRDefault="00196A2F" w:rsidP="00E85570">
            <w:pPr>
              <w:ind w:left="-84" w:right="-1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14829">
              <w:rPr>
                <w:rFonts w:ascii="Arial" w:hAnsi="Arial" w:cs="Arial"/>
                <w:sz w:val="18"/>
                <w:szCs w:val="18"/>
              </w:rPr>
              <w:t>Toutes variétés</w:t>
            </w:r>
          </w:p>
        </w:tc>
        <w:tc>
          <w:tcPr>
            <w:tcW w:w="969" w:type="dxa"/>
            <w:tcBorders>
              <w:left w:val="single" w:sz="4" w:space="0" w:color="DAEFD3" w:themeColor="accent1" w:themeTint="33"/>
              <w:right w:val="single" w:sz="4" w:space="0" w:color="DAEFD3" w:themeColor="accent1" w:themeTint="33"/>
            </w:tcBorders>
            <w:vAlign w:val="center"/>
          </w:tcPr>
          <w:p w14:paraId="3F0FED04" w14:textId="3A5D2082" w:rsidR="00196A2F" w:rsidRPr="00314829" w:rsidRDefault="00196A2F" w:rsidP="00E85570">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14829">
              <w:rPr>
                <w:rFonts w:ascii="Arial" w:hAnsi="Arial" w:cs="Arial"/>
                <w:sz w:val="18"/>
                <w:szCs w:val="18"/>
              </w:rPr>
              <w:t>Bintje</w:t>
            </w:r>
          </w:p>
        </w:tc>
        <w:tc>
          <w:tcPr>
            <w:tcW w:w="1213" w:type="dxa"/>
            <w:tcBorders>
              <w:left w:val="single" w:sz="4" w:space="0" w:color="DAEFD3" w:themeColor="accent1" w:themeTint="33"/>
              <w:right w:val="single" w:sz="4" w:space="0" w:color="DAEFD3" w:themeColor="accent1" w:themeTint="33"/>
            </w:tcBorders>
            <w:vAlign w:val="center"/>
          </w:tcPr>
          <w:p w14:paraId="610493DC" w14:textId="21B4E389" w:rsidR="00196A2F" w:rsidRPr="00314829" w:rsidRDefault="00196A2F" w:rsidP="00E85570">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14829">
              <w:rPr>
                <w:rFonts w:ascii="Arial" w:hAnsi="Arial" w:cs="Arial"/>
                <w:sz w:val="18"/>
                <w:szCs w:val="18"/>
              </w:rPr>
              <w:t>Challenger</w:t>
            </w:r>
          </w:p>
        </w:tc>
        <w:tc>
          <w:tcPr>
            <w:tcW w:w="992" w:type="dxa"/>
            <w:tcBorders>
              <w:left w:val="single" w:sz="4" w:space="0" w:color="DAEFD3" w:themeColor="accent1" w:themeTint="33"/>
              <w:right w:val="single" w:sz="4" w:space="0" w:color="DAEFD3" w:themeColor="accent1" w:themeTint="33"/>
            </w:tcBorders>
            <w:vAlign w:val="center"/>
          </w:tcPr>
          <w:p w14:paraId="07A93DDC" w14:textId="3389BD1C" w:rsidR="00196A2F" w:rsidRPr="00314829" w:rsidRDefault="00196A2F" w:rsidP="00E85570">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14829">
              <w:rPr>
                <w:rFonts w:ascii="Arial" w:hAnsi="Arial" w:cs="Arial"/>
                <w:sz w:val="18"/>
                <w:szCs w:val="18"/>
              </w:rPr>
              <w:t>Fontane</w:t>
            </w:r>
          </w:p>
        </w:tc>
        <w:tc>
          <w:tcPr>
            <w:tcW w:w="992" w:type="dxa"/>
            <w:tcBorders>
              <w:left w:val="single" w:sz="4" w:space="0" w:color="DAEFD3" w:themeColor="accent1" w:themeTint="33"/>
              <w:right w:val="single" w:sz="4" w:space="0" w:color="DAEFD3" w:themeColor="accent1" w:themeTint="33"/>
            </w:tcBorders>
            <w:vAlign w:val="center"/>
          </w:tcPr>
          <w:p w14:paraId="02B6D9B9" w14:textId="4628B9CE" w:rsidR="00196A2F" w:rsidRPr="00314829" w:rsidRDefault="00196A2F" w:rsidP="00E85570">
            <w:pPr>
              <w:ind w:left="-138"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14829">
              <w:rPr>
                <w:rFonts w:ascii="Arial" w:hAnsi="Arial" w:cs="Arial"/>
                <w:sz w:val="18"/>
                <w:szCs w:val="18"/>
              </w:rPr>
              <w:t>Innovator</w:t>
            </w:r>
          </w:p>
        </w:tc>
        <w:tc>
          <w:tcPr>
            <w:tcW w:w="829" w:type="dxa"/>
            <w:tcBorders>
              <w:left w:val="single" w:sz="4" w:space="0" w:color="DAEFD3" w:themeColor="accent1" w:themeTint="33"/>
            </w:tcBorders>
            <w:vAlign w:val="center"/>
          </w:tcPr>
          <w:p w14:paraId="3BCB358C" w14:textId="236CFD7D" w:rsidR="00196A2F" w:rsidRPr="00314829" w:rsidRDefault="00196A2F" w:rsidP="00E85570">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14829">
              <w:rPr>
                <w:rFonts w:ascii="Arial" w:hAnsi="Arial" w:cs="Arial"/>
                <w:sz w:val="18"/>
                <w:szCs w:val="18"/>
              </w:rPr>
              <w:t>Autres variétés</w:t>
            </w:r>
          </w:p>
        </w:tc>
        <w:tc>
          <w:tcPr>
            <w:tcW w:w="3095" w:type="dxa"/>
            <w:vMerge w:val="restart"/>
            <w:tcBorders>
              <w:top w:val="nil"/>
              <w:bottom w:val="nil"/>
              <w:right w:val="nil"/>
            </w:tcBorders>
            <w:shd w:val="clear" w:color="auto" w:fill="FFFFFF" w:themeFill="background1"/>
          </w:tcPr>
          <w:p w14:paraId="1888A9B5" w14:textId="77777777" w:rsidR="00196A2F" w:rsidRPr="00314829" w:rsidRDefault="00196A2F" w:rsidP="00196A2F">
            <w:pPr>
              <w:cnfStyle w:val="100000000000" w:firstRow="1" w:lastRow="0" w:firstColumn="0" w:lastColumn="0" w:oddVBand="0" w:evenVBand="0" w:oddHBand="0" w:evenHBand="0" w:firstRowFirstColumn="0" w:firstRowLastColumn="0" w:lastRowFirstColumn="0" w:lastRowLastColumn="0"/>
              <w:rPr>
                <w:b w:val="0"/>
              </w:rPr>
            </w:pPr>
          </w:p>
        </w:tc>
      </w:tr>
      <w:tr w:rsidR="00196A2F" w:rsidRPr="00314829" w14:paraId="648A800A" w14:textId="77777777" w:rsidTr="006C668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4" w:type="dxa"/>
          </w:tcPr>
          <w:p w14:paraId="7BEB66FD" w14:textId="27455C3C" w:rsidR="00196A2F" w:rsidRPr="00314829" w:rsidRDefault="00196A2F" w:rsidP="00196A2F">
            <w:pPr>
              <w:rPr>
                <w:b w:val="0"/>
                <w:color w:val="2A4F1C" w:themeColor="accent1" w:themeShade="80"/>
                <w:sz w:val="20"/>
              </w:rPr>
            </w:pPr>
            <w:r w:rsidRPr="00314829">
              <w:rPr>
                <w:rFonts w:ascii="Arial Narrow" w:hAnsi="Arial Narrow"/>
                <w:sz w:val="20"/>
              </w:rPr>
              <w:t>Livré départ champ</w:t>
            </w:r>
          </w:p>
        </w:tc>
        <w:tc>
          <w:tcPr>
            <w:tcW w:w="874" w:type="dxa"/>
            <w:vAlign w:val="center"/>
          </w:tcPr>
          <w:p w14:paraId="10DAF39F" w14:textId="020095BB"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13 %</w:t>
            </w:r>
          </w:p>
        </w:tc>
        <w:tc>
          <w:tcPr>
            <w:tcW w:w="969" w:type="dxa"/>
            <w:vAlign w:val="center"/>
          </w:tcPr>
          <w:p w14:paraId="3AC0CA0B" w14:textId="16D55BE2" w:rsidR="00196A2F" w:rsidRPr="00314829" w:rsidRDefault="00EC2B1F"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w:t>
            </w:r>
            <w:r w:rsidR="00D3021B" w:rsidRPr="00314829">
              <w:rPr>
                <w:b/>
                <w:sz w:val="20"/>
              </w:rPr>
              <w:t>1</w:t>
            </w:r>
            <w:r w:rsidRPr="00314829">
              <w:rPr>
                <w:b/>
                <w:sz w:val="20"/>
              </w:rPr>
              <w:t xml:space="preserve"> %</w:t>
            </w:r>
          </w:p>
        </w:tc>
        <w:tc>
          <w:tcPr>
            <w:tcW w:w="1213" w:type="dxa"/>
          </w:tcPr>
          <w:p w14:paraId="1113D314" w14:textId="432A3FA8" w:rsidR="00196A2F" w:rsidRPr="00314829" w:rsidRDefault="00EC2B1F"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2</w:t>
            </w:r>
            <w:r w:rsidR="00D3021B" w:rsidRPr="00314829">
              <w:rPr>
                <w:b/>
                <w:sz w:val="20"/>
              </w:rPr>
              <w:t>2</w:t>
            </w:r>
            <w:r w:rsidRPr="00314829">
              <w:rPr>
                <w:b/>
                <w:sz w:val="20"/>
              </w:rPr>
              <w:t xml:space="preserve"> %</w:t>
            </w:r>
          </w:p>
        </w:tc>
        <w:tc>
          <w:tcPr>
            <w:tcW w:w="992" w:type="dxa"/>
          </w:tcPr>
          <w:p w14:paraId="409559E4" w14:textId="73B3C067"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9</w:t>
            </w:r>
            <w:r w:rsidR="00EC2B1F" w:rsidRPr="00314829">
              <w:rPr>
                <w:b/>
                <w:sz w:val="20"/>
              </w:rPr>
              <w:t xml:space="preserve"> %</w:t>
            </w:r>
          </w:p>
        </w:tc>
        <w:tc>
          <w:tcPr>
            <w:tcW w:w="992" w:type="dxa"/>
          </w:tcPr>
          <w:p w14:paraId="3CA65F70" w14:textId="35442CA8"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20</w:t>
            </w:r>
            <w:r w:rsidR="00591F34" w:rsidRPr="00314829">
              <w:rPr>
                <w:b/>
                <w:sz w:val="20"/>
              </w:rPr>
              <w:t xml:space="preserve"> %</w:t>
            </w:r>
          </w:p>
        </w:tc>
        <w:tc>
          <w:tcPr>
            <w:tcW w:w="829" w:type="dxa"/>
            <w:vAlign w:val="center"/>
          </w:tcPr>
          <w:p w14:paraId="55A81CD5" w14:textId="3F8D7A79"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2</w:t>
            </w:r>
            <w:r w:rsidR="00314829" w:rsidRPr="00314829">
              <w:rPr>
                <w:b/>
                <w:sz w:val="20"/>
              </w:rPr>
              <w:t>0</w:t>
            </w:r>
            <w:r w:rsidRPr="00314829">
              <w:rPr>
                <w:b/>
                <w:sz w:val="20"/>
              </w:rPr>
              <w:t xml:space="preserve"> %</w:t>
            </w:r>
          </w:p>
        </w:tc>
        <w:tc>
          <w:tcPr>
            <w:tcW w:w="3095" w:type="dxa"/>
            <w:vMerge/>
            <w:tcBorders>
              <w:top w:val="single" w:sz="4" w:space="0" w:color="auto"/>
              <w:bottom w:val="nil"/>
              <w:right w:val="nil"/>
            </w:tcBorders>
            <w:shd w:val="clear" w:color="auto" w:fill="FFFFFF" w:themeFill="background1"/>
          </w:tcPr>
          <w:p w14:paraId="22AD11A4" w14:textId="77777777" w:rsidR="00196A2F" w:rsidRPr="00314829" w:rsidRDefault="00196A2F" w:rsidP="00196A2F">
            <w:pPr>
              <w:cnfStyle w:val="000000100000" w:firstRow="0" w:lastRow="0" w:firstColumn="0" w:lastColumn="0" w:oddVBand="0" w:evenVBand="0" w:oddHBand="1" w:evenHBand="0" w:firstRowFirstColumn="0" w:firstRowLastColumn="0" w:lastRowFirstColumn="0" w:lastRowLastColumn="0"/>
            </w:pPr>
          </w:p>
        </w:tc>
      </w:tr>
      <w:tr w:rsidR="00196A2F" w:rsidRPr="00314829" w14:paraId="5BE1D653" w14:textId="77777777" w:rsidTr="006C6680">
        <w:trPr>
          <w:trHeight w:hRule="exact" w:val="255"/>
        </w:trPr>
        <w:tc>
          <w:tcPr>
            <w:cnfStyle w:val="001000000000" w:firstRow="0" w:lastRow="0" w:firstColumn="1" w:lastColumn="0" w:oddVBand="0" w:evenVBand="0" w:oddHBand="0" w:evenHBand="0" w:firstRowFirstColumn="0" w:firstRowLastColumn="0" w:lastRowFirstColumn="0" w:lastRowLastColumn="0"/>
            <w:tcW w:w="3964" w:type="dxa"/>
          </w:tcPr>
          <w:p w14:paraId="655FB38D" w14:textId="6345D58D" w:rsidR="00196A2F" w:rsidRPr="00314829" w:rsidRDefault="00196A2F" w:rsidP="00196A2F">
            <w:pPr>
              <w:rPr>
                <w:b w:val="0"/>
                <w:color w:val="2A4F1C" w:themeColor="accent1" w:themeShade="80"/>
                <w:sz w:val="20"/>
              </w:rPr>
            </w:pPr>
            <w:r w:rsidRPr="00314829">
              <w:rPr>
                <w:rFonts w:ascii="Arial Narrow" w:hAnsi="Arial Narrow"/>
                <w:sz w:val="20"/>
              </w:rPr>
              <w:t>Livré entre récolte et 1</w:t>
            </w:r>
            <w:r w:rsidR="00FA2C0D" w:rsidRPr="00314829">
              <w:rPr>
                <w:rFonts w:ascii="Arial Narrow" w:hAnsi="Arial Narrow"/>
                <w:sz w:val="20"/>
              </w:rPr>
              <w:t>0</w:t>
            </w:r>
            <w:r w:rsidRPr="00314829">
              <w:rPr>
                <w:rFonts w:ascii="Arial Narrow" w:hAnsi="Arial Narrow"/>
                <w:sz w:val="20"/>
              </w:rPr>
              <w:t xml:space="preserve"> novembre 20</w:t>
            </w:r>
            <w:r w:rsidR="00E85570" w:rsidRPr="00314829">
              <w:rPr>
                <w:rFonts w:ascii="Arial Narrow" w:hAnsi="Arial Narrow"/>
                <w:sz w:val="20"/>
              </w:rPr>
              <w:t>2</w:t>
            </w:r>
            <w:r w:rsidR="00E93E84" w:rsidRPr="00314829">
              <w:rPr>
                <w:rFonts w:ascii="Arial Narrow" w:hAnsi="Arial Narrow"/>
                <w:sz w:val="20"/>
              </w:rPr>
              <w:t>3</w:t>
            </w:r>
          </w:p>
        </w:tc>
        <w:tc>
          <w:tcPr>
            <w:tcW w:w="874" w:type="dxa"/>
            <w:vAlign w:val="center"/>
          </w:tcPr>
          <w:p w14:paraId="237817B8" w14:textId="27830880" w:rsidR="00196A2F" w:rsidRPr="00314829" w:rsidRDefault="00E93E84"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7</w:t>
            </w:r>
            <w:r w:rsidR="00591F34" w:rsidRPr="00314829">
              <w:rPr>
                <w:b/>
                <w:sz w:val="20"/>
              </w:rPr>
              <w:t xml:space="preserve"> %</w:t>
            </w:r>
          </w:p>
        </w:tc>
        <w:tc>
          <w:tcPr>
            <w:tcW w:w="969" w:type="dxa"/>
            <w:vAlign w:val="center"/>
          </w:tcPr>
          <w:p w14:paraId="5132AC1C" w14:textId="1F05037C" w:rsidR="00196A2F" w:rsidRPr="00314829" w:rsidRDefault="00D3021B"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 xml:space="preserve">17 </w:t>
            </w:r>
            <w:r w:rsidR="00EC2B1F" w:rsidRPr="00314829">
              <w:rPr>
                <w:b/>
                <w:sz w:val="20"/>
              </w:rPr>
              <w:t>%</w:t>
            </w:r>
          </w:p>
        </w:tc>
        <w:tc>
          <w:tcPr>
            <w:tcW w:w="1213" w:type="dxa"/>
          </w:tcPr>
          <w:p w14:paraId="200185D7" w14:textId="5FF49C75" w:rsidR="00196A2F" w:rsidRPr="00314829" w:rsidRDefault="00D3021B"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 xml:space="preserve">6 </w:t>
            </w:r>
            <w:r w:rsidR="00EC2B1F" w:rsidRPr="00314829">
              <w:rPr>
                <w:b/>
                <w:sz w:val="20"/>
              </w:rPr>
              <w:t>%</w:t>
            </w:r>
          </w:p>
        </w:tc>
        <w:tc>
          <w:tcPr>
            <w:tcW w:w="992" w:type="dxa"/>
          </w:tcPr>
          <w:p w14:paraId="75785082" w14:textId="75B2FF07" w:rsidR="00196A2F" w:rsidRPr="00314829" w:rsidRDefault="00D3021B"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5</w:t>
            </w:r>
            <w:r w:rsidR="00EC2B1F" w:rsidRPr="00314829">
              <w:rPr>
                <w:b/>
                <w:sz w:val="20"/>
              </w:rPr>
              <w:t xml:space="preserve"> %</w:t>
            </w:r>
          </w:p>
        </w:tc>
        <w:tc>
          <w:tcPr>
            <w:tcW w:w="992" w:type="dxa"/>
          </w:tcPr>
          <w:p w14:paraId="23B58F67" w14:textId="556D4C78" w:rsidR="00196A2F" w:rsidRPr="00314829" w:rsidRDefault="00D3021B"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 xml:space="preserve">21 </w:t>
            </w:r>
            <w:r w:rsidR="00591F34" w:rsidRPr="00314829">
              <w:rPr>
                <w:b/>
                <w:sz w:val="20"/>
              </w:rPr>
              <w:t>%</w:t>
            </w:r>
          </w:p>
        </w:tc>
        <w:tc>
          <w:tcPr>
            <w:tcW w:w="829" w:type="dxa"/>
            <w:vAlign w:val="center"/>
          </w:tcPr>
          <w:p w14:paraId="074B25C8" w14:textId="6F0BCED0" w:rsidR="00196A2F" w:rsidRPr="00314829" w:rsidRDefault="00314829"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7</w:t>
            </w:r>
            <w:r w:rsidR="00591F34" w:rsidRPr="00314829">
              <w:rPr>
                <w:b/>
                <w:sz w:val="20"/>
              </w:rPr>
              <w:t xml:space="preserve"> %</w:t>
            </w:r>
          </w:p>
        </w:tc>
        <w:tc>
          <w:tcPr>
            <w:tcW w:w="3095" w:type="dxa"/>
            <w:vMerge/>
            <w:tcBorders>
              <w:top w:val="single" w:sz="4" w:space="0" w:color="auto"/>
              <w:bottom w:val="nil"/>
              <w:right w:val="nil"/>
            </w:tcBorders>
            <w:shd w:val="clear" w:color="auto" w:fill="FFFFFF" w:themeFill="background1"/>
          </w:tcPr>
          <w:p w14:paraId="4E317EFF" w14:textId="77777777" w:rsidR="00196A2F" w:rsidRPr="00314829" w:rsidRDefault="00196A2F" w:rsidP="00196A2F">
            <w:pPr>
              <w:cnfStyle w:val="000000000000" w:firstRow="0" w:lastRow="0" w:firstColumn="0" w:lastColumn="0" w:oddVBand="0" w:evenVBand="0" w:oddHBand="0" w:evenHBand="0" w:firstRowFirstColumn="0" w:firstRowLastColumn="0" w:lastRowFirstColumn="0" w:lastRowLastColumn="0"/>
            </w:pPr>
          </w:p>
        </w:tc>
      </w:tr>
      <w:tr w:rsidR="00196A2F" w:rsidRPr="00314829" w14:paraId="10CD965D" w14:textId="77777777" w:rsidTr="006C668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4" w:type="dxa"/>
          </w:tcPr>
          <w:p w14:paraId="201D7F7F" w14:textId="7C58C2FA" w:rsidR="00196A2F" w:rsidRPr="00314829" w:rsidRDefault="00196A2F" w:rsidP="00196A2F">
            <w:pPr>
              <w:rPr>
                <w:b w:val="0"/>
                <w:color w:val="2A4F1C" w:themeColor="accent1" w:themeShade="80"/>
                <w:sz w:val="20"/>
              </w:rPr>
            </w:pPr>
            <w:r w:rsidRPr="00314829">
              <w:rPr>
                <w:rFonts w:ascii="Arial Narrow" w:hAnsi="Arial Narrow"/>
                <w:sz w:val="20"/>
              </w:rPr>
              <w:t>Livré entre 1</w:t>
            </w:r>
            <w:r w:rsidR="00E93E84" w:rsidRPr="00314829">
              <w:rPr>
                <w:rFonts w:ascii="Arial Narrow" w:hAnsi="Arial Narrow"/>
                <w:sz w:val="20"/>
              </w:rPr>
              <w:t>5</w:t>
            </w:r>
            <w:r w:rsidRPr="00314829">
              <w:rPr>
                <w:rFonts w:ascii="Arial Narrow" w:hAnsi="Arial Narrow"/>
                <w:sz w:val="20"/>
              </w:rPr>
              <w:t xml:space="preserve"> novembre 20</w:t>
            </w:r>
            <w:r w:rsidR="00E85570" w:rsidRPr="00314829">
              <w:rPr>
                <w:rFonts w:ascii="Arial Narrow" w:hAnsi="Arial Narrow"/>
                <w:sz w:val="20"/>
              </w:rPr>
              <w:t>2</w:t>
            </w:r>
            <w:r w:rsidR="00E93E84" w:rsidRPr="00314829">
              <w:rPr>
                <w:rFonts w:ascii="Arial Narrow" w:hAnsi="Arial Narrow"/>
                <w:sz w:val="20"/>
              </w:rPr>
              <w:t>3</w:t>
            </w:r>
            <w:r w:rsidRPr="00314829">
              <w:rPr>
                <w:rFonts w:ascii="Arial Narrow" w:hAnsi="Arial Narrow"/>
                <w:sz w:val="20"/>
              </w:rPr>
              <w:t xml:space="preserve"> et 1</w:t>
            </w:r>
            <w:r w:rsidRPr="00314829">
              <w:rPr>
                <w:rFonts w:ascii="Arial Narrow" w:hAnsi="Arial Narrow"/>
                <w:sz w:val="20"/>
                <w:vertAlign w:val="superscript"/>
              </w:rPr>
              <w:t>er</w:t>
            </w:r>
            <w:r w:rsidRPr="00314829">
              <w:rPr>
                <w:rFonts w:ascii="Arial Narrow" w:hAnsi="Arial Narrow"/>
                <w:sz w:val="20"/>
              </w:rPr>
              <w:t xml:space="preserve"> février 202</w:t>
            </w:r>
            <w:r w:rsidR="00E93E84" w:rsidRPr="00314829">
              <w:rPr>
                <w:rFonts w:ascii="Arial Narrow" w:hAnsi="Arial Narrow"/>
                <w:sz w:val="20"/>
              </w:rPr>
              <w:t>4</w:t>
            </w:r>
          </w:p>
        </w:tc>
        <w:tc>
          <w:tcPr>
            <w:tcW w:w="874" w:type="dxa"/>
            <w:vAlign w:val="center"/>
          </w:tcPr>
          <w:p w14:paraId="26B0FC10" w14:textId="6F20E905"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w:t>
            </w:r>
            <w:r w:rsidR="00E93E84" w:rsidRPr="00314829">
              <w:rPr>
                <w:b/>
                <w:sz w:val="20"/>
              </w:rPr>
              <w:t>7</w:t>
            </w:r>
            <w:r w:rsidRPr="00314829">
              <w:rPr>
                <w:b/>
                <w:sz w:val="20"/>
              </w:rPr>
              <w:t xml:space="preserve"> %</w:t>
            </w:r>
          </w:p>
        </w:tc>
        <w:tc>
          <w:tcPr>
            <w:tcW w:w="969" w:type="dxa"/>
            <w:vAlign w:val="center"/>
          </w:tcPr>
          <w:p w14:paraId="6EC2ABE1" w14:textId="22F51A54"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 xml:space="preserve">16 </w:t>
            </w:r>
            <w:r w:rsidR="00EC2B1F" w:rsidRPr="00314829">
              <w:rPr>
                <w:b/>
                <w:sz w:val="20"/>
              </w:rPr>
              <w:t>%</w:t>
            </w:r>
          </w:p>
        </w:tc>
        <w:tc>
          <w:tcPr>
            <w:tcW w:w="1213" w:type="dxa"/>
          </w:tcPr>
          <w:p w14:paraId="3D48CE2D" w14:textId="5A7E7C27"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38</w:t>
            </w:r>
            <w:r w:rsidR="00EC2B1F" w:rsidRPr="00314829">
              <w:rPr>
                <w:b/>
                <w:sz w:val="20"/>
              </w:rPr>
              <w:t xml:space="preserve"> %</w:t>
            </w:r>
          </w:p>
        </w:tc>
        <w:tc>
          <w:tcPr>
            <w:tcW w:w="992" w:type="dxa"/>
          </w:tcPr>
          <w:p w14:paraId="2D1A5C81" w14:textId="51BA1385" w:rsidR="00196A2F" w:rsidRPr="00314829" w:rsidRDefault="00EC2B1F"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w:t>
            </w:r>
            <w:r w:rsidR="00D3021B" w:rsidRPr="00314829">
              <w:rPr>
                <w:b/>
                <w:sz w:val="20"/>
              </w:rPr>
              <w:t>3</w:t>
            </w:r>
            <w:r w:rsidRPr="00314829">
              <w:rPr>
                <w:b/>
                <w:sz w:val="20"/>
              </w:rPr>
              <w:t xml:space="preserve"> %</w:t>
            </w:r>
          </w:p>
        </w:tc>
        <w:tc>
          <w:tcPr>
            <w:tcW w:w="992" w:type="dxa"/>
          </w:tcPr>
          <w:p w14:paraId="675B97A1" w14:textId="2A897E6D"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3</w:t>
            </w:r>
            <w:r w:rsidR="00D3021B" w:rsidRPr="00314829">
              <w:rPr>
                <w:b/>
                <w:sz w:val="20"/>
              </w:rPr>
              <w:t xml:space="preserve">8 </w:t>
            </w:r>
            <w:r w:rsidRPr="00314829">
              <w:rPr>
                <w:b/>
                <w:sz w:val="20"/>
              </w:rPr>
              <w:t>%</w:t>
            </w:r>
          </w:p>
        </w:tc>
        <w:tc>
          <w:tcPr>
            <w:tcW w:w="829" w:type="dxa"/>
            <w:vAlign w:val="center"/>
          </w:tcPr>
          <w:p w14:paraId="3FD4E25D" w14:textId="1E6BF690"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w:t>
            </w:r>
            <w:r w:rsidR="00314829" w:rsidRPr="00314829">
              <w:rPr>
                <w:b/>
                <w:sz w:val="20"/>
              </w:rPr>
              <w:t>4</w:t>
            </w:r>
            <w:r w:rsidR="00591F34" w:rsidRPr="00314829">
              <w:rPr>
                <w:b/>
                <w:sz w:val="20"/>
              </w:rPr>
              <w:t xml:space="preserve"> %</w:t>
            </w:r>
          </w:p>
        </w:tc>
        <w:tc>
          <w:tcPr>
            <w:tcW w:w="3095" w:type="dxa"/>
            <w:vMerge/>
            <w:tcBorders>
              <w:top w:val="single" w:sz="4" w:space="0" w:color="auto"/>
              <w:bottom w:val="nil"/>
              <w:right w:val="nil"/>
            </w:tcBorders>
            <w:shd w:val="clear" w:color="auto" w:fill="FFFFFF" w:themeFill="background1"/>
          </w:tcPr>
          <w:p w14:paraId="7A830E6E" w14:textId="77777777" w:rsidR="00196A2F" w:rsidRPr="00314829" w:rsidRDefault="00196A2F" w:rsidP="00196A2F">
            <w:pPr>
              <w:cnfStyle w:val="000000100000" w:firstRow="0" w:lastRow="0" w:firstColumn="0" w:lastColumn="0" w:oddVBand="0" w:evenVBand="0" w:oddHBand="1" w:evenHBand="0" w:firstRowFirstColumn="0" w:firstRowLastColumn="0" w:lastRowFirstColumn="0" w:lastRowLastColumn="0"/>
            </w:pPr>
          </w:p>
        </w:tc>
      </w:tr>
      <w:tr w:rsidR="00196A2F" w:rsidRPr="00314829" w14:paraId="736AB9E6" w14:textId="77777777" w:rsidTr="006C6680">
        <w:trPr>
          <w:trHeight w:hRule="exact" w:val="255"/>
        </w:trPr>
        <w:tc>
          <w:tcPr>
            <w:cnfStyle w:val="001000000000" w:firstRow="0" w:lastRow="0" w:firstColumn="1" w:lastColumn="0" w:oddVBand="0" w:evenVBand="0" w:oddHBand="0" w:evenHBand="0" w:firstRowFirstColumn="0" w:firstRowLastColumn="0" w:lastRowFirstColumn="0" w:lastRowLastColumn="0"/>
            <w:tcW w:w="3964" w:type="dxa"/>
            <w:tcBorders>
              <w:bottom w:val="single" w:sz="18" w:space="0" w:color="549E39" w:themeColor="accent1"/>
            </w:tcBorders>
          </w:tcPr>
          <w:p w14:paraId="56F708CD" w14:textId="199AAD61" w:rsidR="00196A2F" w:rsidRPr="00314829" w:rsidRDefault="00196A2F" w:rsidP="00196A2F">
            <w:pPr>
              <w:rPr>
                <w:b w:val="0"/>
                <w:color w:val="2A4F1C" w:themeColor="accent1" w:themeShade="80"/>
                <w:sz w:val="20"/>
              </w:rPr>
            </w:pPr>
            <w:r w:rsidRPr="00314829">
              <w:rPr>
                <w:rFonts w:ascii="Arial Narrow" w:hAnsi="Arial Narrow"/>
                <w:sz w:val="20"/>
              </w:rPr>
              <w:t>Livré entre 1</w:t>
            </w:r>
            <w:r w:rsidRPr="00314829">
              <w:rPr>
                <w:rFonts w:ascii="Arial Narrow" w:hAnsi="Arial Narrow"/>
                <w:sz w:val="20"/>
                <w:vertAlign w:val="superscript"/>
              </w:rPr>
              <w:t>er</w:t>
            </w:r>
            <w:r w:rsidRPr="00314829">
              <w:rPr>
                <w:rFonts w:ascii="Arial Narrow" w:hAnsi="Arial Narrow"/>
                <w:sz w:val="20"/>
              </w:rPr>
              <w:t xml:space="preserve"> février 202</w:t>
            </w:r>
            <w:r w:rsidR="00E93E84" w:rsidRPr="00314829">
              <w:rPr>
                <w:rFonts w:ascii="Arial Narrow" w:hAnsi="Arial Narrow"/>
                <w:sz w:val="20"/>
              </w:rPr>
              <w:t>4</w:t>
            </w:r>
            <w:r w:rsidRPr="00314829">
              <w:rPr>
                <w:rFonts w:ascii="Arial Narrow" w:hAnsi="Arial Narrow"/>
                <w:sz w:val="20"/>
              </w:rPr>
              <w:t xml:space="preserve"> et 1</w:t>
            </w:r>
            <w:r w:rsidRPr="00314829">
              <w:rPr>
                <w:rFonts w:ascii="Arial Narrow" w:hAnsi="Arial Narrow"/>
                <w:sz w:val="20"/>
                <w:vertAlign w:val="superscript"/>
              </w:rPr>
              <w:t>er</w:t>
            </w:r>
            <w:r w:rsidRPr="00314829">
              <w:rPr>
                <w:rFonts w:ascii="Arial Narrow" w:hAnsi="Arial Narrow"/>
                <w:sz w:val="20"/>
              </w:rPr>
              <w:t xml:space="preserve"> avril 202</w:t>
            </w:r>
            <w:r w:rsidR="00E93E84" w:rsidRPr="00314829">
              <w:rPr>
                <w:rFonts w:ascii="Arial Narrow" w:hAnsi="Arial Narrow"/>
                <w:sz w:val="20"/>
              </w:rPr>
              <w:t>4</w:t>
            </w:r>
          </w:p>
        </w:tc>
        <w:tc>
          <w:tcPr>
            <w:tcW w:w="874" w:type="dxa"/>
            <w:tcBorders>
              <w:bottom w:val="single" w:sz="18" w:space="0" w:color="549E39" w:themeColor="accent1"/>
            </w:tcBorders>
            <w:vAlign w:val="center"/>
          </w:tcPr>
          <w:p w14:paraId="5E198985" w14:textId="1EF7A6F6" w:rsidR="00196A2F" w:rsidRPr="00314829" w:rsidRDefault="00E93E84"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20</w:t>
            </w:r>
            <w:r w:rsidR="00591F34" w:rsidRPr="00314829">
              <w:rPr>
                <w:b/>
                <w:sz w:val="20"/>
              </w:rPr>
              <w:t xml:space="preserve"> %</w:t>
            </w:r>
          </w:p>
        </w:tc>
        <w:tc>
          <w:tcPr>
            <w:tcW w:w="969" w:type="dxa"/>
            <w:tcBorders>
              <w:bottom w:val="single" w:sz="18" w:space="0" w:color="549E39" w:themeColor="accent1"/>
            </w:tcBorders>
            <w:vAlign w:val="center"/>
          </w:tcPr>
          <w:p w14:paraId="14BDA67C" w14:textId="05623CD5" w:rsidR="00196A2F" w:rsidRPr="00314829" w:rsidRDefault="00EC2B1F"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2</w:t>
            </w:r>
            <w:r w:rsidR="00D3021B" w:rsidRPr="00314829">
              <w:rPr>
                <w:b/>
                <w:sz w:val="20"/>
              </w:rPr>
              <w:t>5</w:t>
            </w:r>
            <w:r w:rsidRPr="00314829">
              <w:rPr>
                <w:b/>
                <w:sz w:val="20"/>
              </w:rPr>
              <w:t xml:space="preserve"> %</w:t>
            </w:r>
          </w:p>
        </w:tc>
        <w:tc>
          <w:tcPr>
            <w:tcW w:w="1213" w:type="dxa"/>
            <w:tcBorders>
              <w:bottom w:val="single" w:sz="18" w:space="0" w:color="549E39" w:themeColor="accent1"/>
            </w:tcBorders>
          </w:tcPr>
          <w:p w14:paraId="4AA89D7E" w14:textId="2AA63E52" w:rsidR="00196A2F" w:rsidRPr="00314829" w:rsidRDefault="00EC2B1F"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2</w:t>
            </w:r>
            <w:r w:rsidR="00D3021B" w:rsidRPr="00314829">
              <w:rPr>
                <w:b/>
                <w:sz w:val="20"/>
              </w:rPr>
              <w:t>1</w:t>
            </w:r>
            <w:r w:rsidRPr="00314829">
              <w:rPr>
                <w:b/>
                <w:sz w:val="20"/>
              </w:rPr>
              <w:t xml:space="preserve"> %</w:t>
            </w:r>
          </w:p>
        </w:tc>
        <w:tc>
          <w:tcPr>
            <w:tcW w:w="992" w:type="dxa"/>
            <w:tcBorders>
              <w:bottom w:val="single" w:sz="18" w:space="0" w:color="549E39" w:themeColor="accent1"/>
            </w:tcBorders>
          </w:tcPr>
          <w:p w14:paraId="41AEB853" w14:textId="0E2CC7CA" w:rsidR="00196A2F" w:rsidRPr="00314829" w:rsidRDefault="00EC2B1F"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2</w:t>
            </w:r>
            <w:r w:rsidR="00D3021B" w:rsidRPr="00314829">
              <w:rPr>
                <w:b/>
                <w:sz w:val="20"/>
              </w:rPr>
              <w:t>4</w:t>
            </w:r>
            <w:r w:rsidRPr="00314829">
              <w:rPr>
                <w:b/>
                <w:sz w:val="20"/>
              </w:rPr>
              <w:t xml:space="preserve"> %</w:t>
            </w:r>
          </w:p>
        </w:tc>
        <w:tc>
          <w:tcPr>
            <w:tcW w:w="992" w:type="dxa"/>
            <w:tcBorders>
              <w:bottom w:val="single" w:sz="18" w:space="0" w:color="549E39" w:themeColor="accent1"/>
            </w:tcBorders>
          </w:tcPr>
          <w:p w14:paraId="66E221EA" w14:textId="025A6A25" w:rsidR="00196A2F" w:rsidRPr="00314829" w:rsidRDefault="00D3021B"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11</w:t>
            </w:r>
            <w:r w:rsidR="00591F34" w:rsidRPr="00314829">
              <w:rPr>
                <w:b/>
                <w:sz w:val="20"/>
              </w:rPr>
              <w:t xml:space="preserve"> %</w:t>
            </w:r>
          </w:p>
        </w:tc>
        <w:tc>
          <w:tcPr>
            <w:tcW w:w="829" w:type="dxa"/>
            <w:tcBorders>
              <w:bottom w:val="single" w:sz="18" w:space="0" w:color="549E39" w:themeColor="accent1"/>
            </w:tcBorders>
            <w:vAlign w:val="center"/>
          </w:tcPr>
          <w:p w14:paraId="0C3BFF14" w14:textId="2EB9C20E" w:rsidR="00196A2F" w:rsidRPr="00314829" w:rsidRDefault="00314829" w:rsidP="00196A2F">
            <w:pPr>
              <w:jc w:val="center"/>
              <w:cnfStyle w:val="000000000000" w:firstRow="0" w:lastRow="0" w:firstColumn="0" w:lastColumn="0" w:oddVBand="0" w:evenVBand="0" w:oddHBand="0" w:evenHBand="0" w:firstRowFirstColumn="0" w:firstRowLastColumn="0" w:lastRowFirstColumn="0" w:lastRowLastColumn="0"/>
              <w:rPr>
                <w:b/>
                <w:sz w:val="20"/>
              </w:rPr>
            </w:pPr>
            <w:r w:rsidRPr="00314829">
              <w:rPr>
                <w:b/>
                <w:sz w:val="20"/>
              </w:rPr>
              <w:t>9</w:t>
            </w:r>
            <w:r w:rsidR="00591F34" w:rsidRPr="00314829">
              <w:rPr>
                <w:b/>
                <w:sz w:val="20"/>
              </w:rPr>
              <w:t xml:space="preserve"> %</w:t>
            </w:r>
          </w:p>
        </w:tc>
        <w:tc>
          <w:tcPr>
            <w:tcW w:w="3095" w:type="dxa"/>
            <w:vMerge/>
            <w:tcBorders>
              <w:top w:val="single" w:sz="4" w:space="0" w:color="auto"/>
              <w:bottom w:val="nil"/>
              <w:right w:val="nil"/>
            </w:tcBorders>
            <w:shd w:val="clear" w:color="auto" w:fill="FFFFFF" w:themeFill="background1"/>
          </w:tcPr>
          <w:p w14:paraId="428E9804" w14:textId="77777777" w:rsidR="00196A2F" w:rsidRPr="00314829" w:rsidRDefault="00196A2F" w:rsidP="00196A2F">
            <w:pPr>
              <w:cnfStyle w:val="000000000000" w:firstRow="0" w:lastRow="0" w:firstColumn="0" w:lastColumn="0" w:oddVBand="0" w:evenVBand="0" w:oddHBand="0" w:evenHBand="0" w:firstRowFirstColumn="0" w:firstRowLastColumn="0" w:lastRowFirstColumn="0" w:lastRowLastColumn="0"/>
            </w:pPr>
          </w:p>
        </w:tc>
      </w:tr>
      <w:tr w:rsidR="00196A2F" w:rsidRPr="00314829" w14:paraId="25D0E80F" w14:textId="77777777" w:rsidTr="006C668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4" w:type="dxa"/>
            <w:tcBorders>
              <w:top w:val="single" w:sz="18" w:space="0" w:color="549E39" w:themeColor="accent1"/>
              <w:left w:val="single" w:sz="18" w:space="0" w:color="549E39" w:themeColor="accent1"/>
              <w:bottom w:val="nil"/>
              <w:right w:val="single" w:sz="4" w:space="0" w:color="549E39" w:themeColor="accent1"/>
            </w:tcBorders>
          </w:tcPr>
          <w:p w14:paraId="6C34055B" w14:textId="5EF49595" w:rsidR="00196A2F" w:rsidRPr="00314829" w:rsidRDefault="00196A2F" w:rsidP="00196A2F">
            <w:pPr>
              <w:rPr>
                <w:b w:val="0"/>
                <w:color w:val="2A4F1C" w:themeColor="accent1" w:themeShade="80"/>
                <w:sz w:val="20"/>
              </w:rPr>
            </w:pPr>
            <w:r w:rsidRPr="00314829">
              <w:rPr>
                <w:rFonts w:ascii="Arial" w:hAnsi="Arial" w:cs="Arial"/>
                <w:sz w:val="20"/>
              </w:rPr>
              <w:t>En stock au 1</w:t>
            </w:r>
            <w:r w:rsidRPr="00314829">
              <w:rPr>
                <w:rFonts w:ascii="Arial" w:hAnsi="Arial" w:cs="Arial"/>
                <w:sz w:val="20"/>
                <w:vertAlign w:val="superscript"/>
              </w:rPr>
              <w:t>er</w:t>
            </w:r>
            <w:r w:rsidRPr="00314829">
              <w:rPr>
                <w:rFonts w:ascii="Arial" w:hAnsi="Arial" w:cs="Arial"/>
                <w:sz w:val="20"/>
              </w:rPr>
              <w:t xml:space="preserve"> avril 202</w:t>
            </w:r>
            <w:r w:rsidR="00E93E84" w:rsidRPr="00314829">
              <w:rPr>
                <w:rFonts w:ascii="Arial" w:hAnsi="Arial" w:cs="Arial"/>
                <w:sz w:val="20"/>
              </w:rPr>
              <w:t>4</w:t>
            </w:r>
          </w:p>
        </w:tc>
        <w:tc>
          <w:tcPr>
            <w:tcW w:w="874" w:type="dxa"/>
            <w:tcBorders>
              <w:top w:val="single" w:sz="18" w:space="0" w:color="549E39" w:themeColor="accent1"/>
              <w:left w:val="single" w:sz="4" w:space="0" w:color="549E39" w:themeColor="accent1"/>
              <w:bottom w:val="nil"/>
              <w:right w:val="single" w:sz="4" w:space="0" w:color="549E39" w:themeColor="accent1"/>
            </w:tcBorders>
            <w:vAlign w:val="center"/>
          </w:tcPr>
          <w:p w14:paraId="22BE69C6" w14:textId="57573899"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sidRPr="00314829">
              <w:rPr>
                <w:rFonts w:ascii="Arial" w:hAnsi="Arial" w:cs="Arial"/>
                <w:b/>
                <w:sz w:val="20"/>
              </w:rPr>
              <w:t>4</w:t>
            </w:r>
            <w:r w:rsidR="00E93E84" w:rsidRPr="00314829">
              <w:rPr>
                <w:rFonts w:ascii="Arial" w:hAnsi="Arial" w:cs="Arial"/>
                <w:b/>
                <w:sz w:val="20"/>
              </w:rPr>
              <w:t>4</w:t>
            </w:r>
            <w:r w:rsidRPr="00314829">
              <w:rPr>
                <w:rFonts w:ascii="Arial" w:hAnsi="Arial" w:cs="Arial"/>
                <w:b/>
                <w:sz w:val="20"/>
              </w:rPr>
              <w:t xml:space="preserve"> %</w:t>
            </w:r>
          </w:p>
        </w:tc>
        <w:tc>
          <w:tcPr>
            <w:tcW w:w="969" w:type="dxa"/>
            <w:tcBorders>
              <w:top w:val="single" w:sz="18" w:space="0" w:color="549E39" w:themeColor="accent1"/>
              <w:left w:val="single" w:sz="4" w:space="0" w:color="549E39" w:themeColor="accent1"/>
              <w:bottom w:val="nil"/>
              <w:right w:val="single" w:sz="4" w:space="0" w:color="549E39" w:themeColor="accent1"/>
            </w:tcBorders>
            <w:vAlign w:val="center"/>
          </w:tcPr>
          <w:p w14:paraId="7DEC9230" w14:textId="58CADA73"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31</w:t>
            </w:r>
            <w:r w:rsidR="00EC2B1F" w:rsidRPr="00314829">
              <w:rPr>
                <w:b/>
                <w:sz w:val="20"/>
              </w:rPr>
              <w:t xml:space="preserve"> %</w:t>
            </w:r>
          </w:p>
        </w:tc>
        <w:tc>
          <w:tcPr>
            <w:tcW w:w="1213" w:type="dxa"/>
            <w:tcBorders>
              <w:top w:val="single" w:sz="18" w:space="0" w:color="549E39" w:themeColor="accent1"/>
              <w:left w:val="single" w:sz="4" w:space="0" w:color="549E39" w:themeColor="accent1"/>
              <w:bottom w:val="nil"/>
              <w:right w:val="single" w:sz="4" w:space="0" w:color="549E39" w:themeColor="accent1"/>
            </w:tcBorders>
          </w:tcPr>
          <w:p w14:paraId="77B143A7" w14:textId="79A09D75"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13</w:t>
            </w:r>
            <w:r w:rsidR="00EC2B1F" w:rsidRPr="00314829">
              <w:rPr>
                <w:b/>
                <w:sz w:val="20"/>
              </w:rPr>
              <w:t xml:space="preserve"> %</w:t>
            </w:r>
          </w:p>
        </w:tc>
        <w:tc>
          <w:tcPr>
            <w:tcW w:w="992" w:type="dxa"/>
            <w:tcBorders>
              <w:top w:val="single" w:sz="18" w:space="0" w:color="549E39" w:themeColor="accent1"/>
              <w:left w:val="single" w:sz="4" w:space="0" w:color="549E39" w:themeColor="accent1"/>
              <w:bottom w:val="nil"/>
              <w:right w:val="single" w:sz="4" w:space="0" w:color="549E39" w:themeColor="accent1"/>
            </w:tcBorders>
          </w:tcPr>
          <w:p w14:paraId="667D668F" w14:textId="3F2DE534" w:rsidR="00196A2F" w:rsidRPr="00314829" w:rsidRDefault="00D3021B"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49</w:t>
            </w:r>
            <w:r w:rsidR="00EC2B1F" w:rsidRPr="00314829">
              <w:rPr>
                <w:b/>
                <w:sz w:val="20"/>
              </w:rPr>
              <w:t xml:space="preserve"> %</w:t>
            </w:r>
          </w:p>
        </w:tc>
        <w:tc>
          <w:tcPr>
            <w:tcW w:w="992" w:type="dxa"/>
            <w:tcBorders>
              <w:top w:val="single" w:sz="18" w:space="0" w:color="549E39" w:themeColor="accent1"/>
              <w:left w:val="single" w:sz="4" w:space="0" w:color="549E39" w:themeColor="accent1"/>
              <w:bottom w:val="nil"/>
              <w:right w:val="single" w:sz="4" w:space="0" w:color="549E39" w:themeColor="accent1"/>
            </w:tcBorders>
          </w:tcPr>
          <w:p w14:paraId="73D476C1" w14:textId="56D07732"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1</w:t>
            </w:r>
            <w:r w:rsidR="00D3021B" w:rsidRPr="00314829">
              <w:rPr>
                <w:b/>
                <w:sz w:val="20"/>
              </w:rPr>
              <w:t>0</w:t>
            </w:r>
            <w:r w:rsidRPr="00314829">
              <w:rPr>
                <w:b/>
                <w:sz w:val="20"/>
              </w:rPr>
              <w:t xml:space="preserve"> %</w:t>
            </w:r>
          </w:p>
        </w:tc>
        <w:tc>
          <w:tcPr>
            <w:tcW w:w="829" w:type="dxa"/>
            <w:tcBorders>
              <w:top w:val="single" w:sz="18" w:space="0" w:color="549E39" w:themeColor="accent1"/>
              <w:left w:val="single" w:sz="4" w:space="0" w:color="549E39" w:themeColor="accent1"/>
              <w:bottom w:val="nil"/>
              <w:right w:val="single" w:sz="18" w:space="0" w:color="549E39" w:themeColor="accent1"/>
            </w:tcBorders>
            <w:vAlign w:val="center"/>
          </w:tcPr>
          <w:p w14:paraId="38DCBF27" w14:textId="350306CB" w:rsidR="00196A2F" w:rsidRPr="00314829" w:rsidRDefault="00591F34" w:rsidP="00196A2F">
            <w:pPr>
              <w:jc w:val="center"/>
              <w:cnfStyle w:val="000000100000" w:firstRow="0" w:lastRow="0" w:firstColumn="0" w:lastColumn="0" w:oddVBand="0" w:evenVBand="0" w:oddHBand="1" w:evenHBand="0" w:firstRowFirstColumn="0" w:firstRowLastColumn="0" w:lastRowFirstColumn="0" w:lastRowLastColumn="0"/>
              <w:rPr>
                <w:b/>
                <w:sz w:val="20"/>
              </w:rPr>
            </w:pPr>
            <w:r w:rsidRPr="00314829">
              <w:rPr>
                <w:b/>
                <w:sz w:val="20"/>
              </w:rPr>
              <w:t>5</w:t>
            </w:r>
            <w:r w:rsidR="00314829" w:rsidRPr="00314829">
              <w:rPr>
                <w:b/>
                <w:sz w:val="20"/>
              </w:rPr>
              <w:t>0</w:t>
            </w:r>
            <w:r w:rsidRPr="00314829">
              <w:rPr>
                <w:b/>
                <w:sz w:val="20"/>
              </w:rPr>
              <w:t xml:space="preserve"> %</w:t>
            </w:r>
          </w:p>
        </w:tc>
        <w:tc>
          <w:tcPr>
            <w:tcW w:w="3095" w:type="dxa"/>
            <w:vMerge/>
            <w:tcBorders>
              <w:top w:val="single" w:sz="4" w:space="0" w:color="auto"/>
              <w:left w:val="single" w:sz="18" w:space="0" w:color="549E39" w:themeColor="accent1"/>
              <w:bottom w:val="nil"/>
              <w:right w:val="nil"/>
            </w:tcBorders>
            <w:shd w:val="clear" w:color="auto" w:fill="FFFFFF" w:themeFill="background1"/>
          </w:tcPr>
          <w:p w14:paraId="2E12E466" w14:textId="77777777" w:rsidR="00196A2F" w:rsidRPr="00314829" w:rsidRDefault="00196A2F" w:rsidP="00196A2F">
            <w:pPr>
              <w:cnfStyle w:val="000000100000" w:firstRow="0" w:lastRow="0" w:firstColumn="0" w:lastColumn="0" w:oddVBand="0" w:evenVBand="0" w:oddHBand="1" w:evenHBand="0" w:firstRowFirstColumn="0" w:firstRowLastColumn="0" w:lastRowFirstColumn="0" w:lastRowLastColumn="0"/>
            </w:pPr>
          </w:p>
        </w:tc>
      </w:tr>
      <w:tr w:rsidR="00196A2F" w:rsidRPr="00314829" w14:paraId="34C1AD08" w14:textId="77777777" w:rsidTr="006C6680">
        <w:trPr>
          <w:trHeight w:hRule="exact" w:val="255"/>
        </w:trPr>
        <w:tc>
          <w:tcPr>
            <w:cnfStyle w:val="001000000000" w:firstRow="0" w:lastRow="0" w:firstColumn="1" w:lastColumn="0" w:oddVBand="0" w:evenVBand="0" w:oddHBand="0" w:evenHBand="0" w:firstRowFirstColumn="0" w:firstRowLastColumn="0" w:lastRowFirstColumn="0" w:lastRowLastColumn="0"/>
            <w:tcW w:w="3964" w:type="dxa"/>
            <w:tcBorders>
              <w:top w:val="nil"/>
              <w:left w:val="single" w:sz="18" w:space="0" w:color="549E39" w:themeColor="accent1"/>
              <w:bottom w:val="nil"/>
              <w:right w:val="single" w:sz="4" w:space="0" w:color="549E39" w:themeColor="accent1"/>
            </w:tcBorders>
          </w:tcPr>
          <w:p w14:paraId="55065181" w14:textId="1B5AA91F" w:rsidR="00196A2F" w:rsidRPr="00314829" w:rsidRDefault="00196A2F" w:rsidP="00196A2F">
            <w:pPr>
              <w:jc w:val="right"/>
              <w:rPr>
                <w:b w:val="0"/>
                <w:color w:val="2A4F1C" w:themeColor="accent1" w:themeShade="80"/>
                <w:sz w:val="20"/>
              </w:rPr>
            </w:pPr>
            <w:r w:rsidRPr="00314829">
              <w:rPr>
                <w:rFonts w:ascii="Arial" w:hAnsi="Arial" w:cs="Arial"/>
                <w:sz w:val="20"/>
              </w:rPr>
              <w:t>Dont encore en libre</w:t>
            </w:r>
          </w:p>
        </w:tc>
        <w:tc>
          <w:tcPr>
            <w:tcW w:w="874" w:type="dxa"/>
            <w:tcBorders>
              <w:top w:val="nil"/>
              <w:left w:val="single" w:sz="4" w:space="0" w:color="549E39" w:themeColor="accent1"/>
              <w:bottom w:val="nil"/>
              <w:right w:val="single" w:sz="4" w:space="0" w:color="549E39" w:themeColor="accent1"/>
            </w:tcBorders>
            <w:vAlign w:val="center"/>
          </w:tcPr>
          <w:p w14:paraId="6E719CC0" w14:textId="6B4F2907" w:rsidR="00196A2F" w:rsidRPr="00314829" w:rsidRDefault="00E93E84" w:rsidP="000E29E5">
            <w:pPr>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314829">
              <w:rPr>
                <w:rFonts w:ascii="Arial" w:hAnsi="Arial" w:cs="Arial"/>
                <w:bCs/>
                <w:sz w:val="20"/>
              </w:rPr>
              <w:t>12</w:t>
            </w:r>
            <w:r w:rsidR="00591F34" w:rsidRPr="00314829">
              <w:rPr>
                <w:rFonts w:ascii="Arial" w:hAnsi="Arial" w:cs="Arial"/>
                <w:bCs/>
                <w:sz w:val="20"/>
              </w:rPr>
              <w:t xml:space="preserve"> %</w:t>
            </w:r>
          </w:p>
        </w:tc>
        <w:tc>
          <w:tcPr>
            <w:tcW w:w="969" w:type="dxa"/>
            <w:tcBorders>
              <w:top w:val="nil"/>
              <w:left w:val="single" w:sz="4" w:space="0" w:color="549E39" w:themeColor="accent1"/>
              <w:bottom w:val="nil"/>
              <w:right w:val="single" w:sz="4" w:space="0" w:color="549E39" w:themeColor="accent1"/>
            </w:tcBorders>
            <w:vAlign w:val="center"/>
          </w:tcPr>
          <w:p w14:paraId="17975841" w14:textId="4A507995" w:rsidR="00196A2F" w:rsidRPr="00314829" w:rsidRDefault="00D3021B" w:rsidP="00196A2F">
            <w:pPr>
              <w:jc w:val="right"/>
              <w:cnfStyle w:val="000000000000" w:firstRow="0" w:lastRow="0" w:firstColumn="0" w:lastColumn="0" w:oddVBand="0" w:evenVBand="0" w:oddHBand="0" w:evenHBand="0" w:firstRowFirstColumn="0" w:firstRowLastColumn="0" w:lastRowFirstColumn="0" w:lastRowLastColumn="0"/>
              <w:rPr>
                <w:bCs/>
                <w:sz w:val="20"/>
              </w:rPr>
            </w:pPr>
            <w:r w:rsidRPr="00314829">
              <w:rPr>
                <w:bCs/>
                <w:sz w:val="20"/>
              </w:rPr>
              <w:t>12</w:t>
            </w:r>
            <w:r w:rsidR="00EC2B1F" w:rsidRPr="00314829">
              <w:rPr>
                <w:bCs/>
                <w:sz w:val="20"/>
              </w:rPr>
              <w:t xml:space="preserve"> %</w:t>
            </w:r>
          </w:p>
        </w:tc>
        <w:tc>
          <w:tcPr>
            <w:tcW w:w="1213" w:type="dxa"/>
            <w:tcBorders>
              <w:top w:val="nil"/>
              <w:left w:val="single" w:sz="4" w:space="0" w:color="549E39" w:themeColor="accent1"/>
              <w:bottom w:val="nil"/>
              <w:right w:val="single" w:sz="4" w:space="0" w:color="549E39" w:themeColor="accent1"/>
            </w:tcBorders>
          </w:tcPr>
          <w:p w14:paraId="24217BAC" w14:textId="7221242D" w:rsidR="00196A2F" w:rsidRPr="00314829" w:rsidRDefault="00D3021B" w:rsidP="00196A2F">
            <w:pPr>
              <w:jc w:val="right"/>
              <w:cnfStyle w:val="000000000000" w:firstRow="0" w:lastRow="0" w:firstColumn="0" w:lastColumn="0" w:oddVBand="0" w:evenVBand="0" w:oddHBand="0" w:evenHBand="0" w:firstRowFirstColumn="0" w:firstRowLastColumn="0" w:lastRowFirstColumn="0" w:lastRowLastColumn="0"/>
              <w:rPr>
                <w:bCs/>
                <w:sz w:val="20"/>
              </w:rPr>
            </w:pPr>
            <w:r w:rsidRPr="00314829">
              <w:rPr>
                <w:bCs/>
                <w:sz w:val="20"/>
              </w:rPr>
              <w:t>7</w:t>
            </w:r>
            <w:r w:rsidR="00EC2B1F" w:rsidRPr="00314829">
              <w:rPr>
                <w:bCs/>
                <w:sz w:val="20"/>
              </w:rPr>
              <w:t xml:space="preserve"> %</w:t>
            </w:r>
          </w:p>
        </w:tc>
        <w:tc>
          <w:tcPr>
            <w:tcW w:w="992" w:type="dxa"/>
            <w:tcBorders>
              <w:top w:val="nil"/>
              <w:left w:val="single" w:sz="4" w:space="0" w:color="549E39" w:themeColor="accent1"/>
              <w:bottom w:val="nil"/>
              <w:right w:val="single" w:sz="4" w:space="0" w:color="549E39" w:themeColor="accent1"/>
            </w:tcBorders>
          </w:tcPr>
          <w:p w14:paraId="339248F5" w14:textId="7D624EAD" w:rsidR="00196A2F" w:rsidRPr="00314829" w:rsidRDefault="00D3021B" w:rsidP="00196A2F">
            <w:pPr>
              <w:jc w:val="right"/>
              <w:cnfStyle w:val="000000000000" w:firstRow="0" w:lastRow="0" w:firstColumn="0" w:lastColumn="0" w:oddVBand="0" w:evenVBand="0" w:oddHBand="0" w:evenHBand="0" w:firstRowFirstColumn="0" w:firstRowLastColumn="0" w:lastRowFirstColumn="0" w:lastRowLastColumn="0"/>
              <w:rPr>
                <w:bCs/>
                <w:sz w:val="20"/>
              </w:rPr>
            </w:pPr>
            <w:r w:rsidRPr="00314829">
              <w:rPr>
                <w:bCs/>
                <w:sz w:val="20"/>
              </w:rPr>
              <w:t>13</w:t>
            </w:r>
            <w:r w:rsidR="00EC2B1F" w:rsidRPr="00314829">
              <w:rPr>
                <w:bCs/>
                <w:sz w:val="20"/>
              </w:rPr>
              <w:t xml:space="preserve"> %</w:t>
            </w:r>
          </w:p>
        </w:tc>
        <w:tc>
          <w:tcPr>
            <w:tcW w:w="992" w:type="dxa"/>
            <w:tcBorders>
              <w:top w:val="nil"/>
              <w:left w:val="single" w:sz="4" w:space="0" w:color="549E39" w:themeColor="accent1"/>
              <w:bottom w:val="nil"/>
              <w:right w:val="single" w:sz="4" w:space="0" w:color="549E39" w:themeColor="accent1"/>
            </w:tcBorders>
          </w:tcPr>
          <w:p w14:paraId="0E059FD2" w14:textId="00C761E8" w:rsidR="00196A2F" w:rsidRPr="00314829" w:rsidRDefault="00D3021B" w:rsidP="00196A2F">
            <w:pPr>
              <w:jc w:val="right"/>
              <w:cnfStyle w:val="000000000000" w:firstRow="0" w:lastRow="0" w:firstColumn="0" w:lastColumn="0" w:oddVBand="0" w:evenVBand="0" w:oddHBand="0" w:evenHBand="0" w:firstRowFirstColumn="0" w:firstRowLastColumn="0" w:lastRowFirstColumn="0" w:lastRowLastColumn="0"/>
              <w:rPr>
                <w:bCs/>
                <w:sz w:val="20"/>
              </w:rPr>
            </w:pPr>
            <w:r w:rsidRPr="00314829">
              <w:rPr>
                <w:bCs/>
                <w:sz w:val="20"/>
              </w:rPr>
              <w:t>4</w:t>
            </w:r>
            <w:r w:rsidR="00591F34" w:rsidRPr="00314829">
              <w:rPr>
                <w:bCs/>
                <w:sz w:val="20"/>
              </w:rPr>
              <w:t xml:space="preserve"> %</w:t>
            </w:r>
          </w:p>
        </w:tc>
        <w:tc>
          <w:tcPr>
            <w:tcW w:w="829" w:type="dxa"/>
            <w:tcBorders>
              <w:top w:val="nil"/>
              <w:left w:val="single" w:sz="4" w:space="0" w:color="549E39" w:themeColor="accent1"/>
              <w:bottom w:val="nil"/>
              <w:right w:val="single" w:sz="18" w:space="0" w:color="549E39" w:themeColor="accent1"/>
            </w:tcBorders>
            <w:vAlign w:val="center"/>
          </w:tcPr>
          <w:p w14:paraId="08D0F357" w14:textId="323DA9E6" w:rsidR="00196A2F" w:rsidRPr="00314829" w:rsidRDefault="00314829" w:rsidP="00196A2F">
            <w:pPr>
              <w:jc w:val="right"/>
              <w:cnfStyle w:val="000000000000" w:firstRow="0" w:lastRow="0" w:firstColumn="0" w:lastColumn="0" w:oddVBand="0" w:evenVBand="0" w:oddHBand="0" w:evenHBand="0" w:firstRowFirstColumn="0" w:firstRowLastColumn="0" w:lastRowFirstColumn="0" w:lastRowLastColumn="0"/>
              <w:rPr>
                <w:bCs/>
                <w:sz w:val="20"/>
              </w:rPr>
            </w:pPr>
            <w:r w:rsidRPr="00314829">
              <w:rPr>
                <w:bCs/>
                <w:sz w:val="20"/>
              </w:rPr>
              <w:t>10</w:t>
            </w:r>
            <w:r w:rsidR="00591F34" w:rsidRPr="00314829">
              <w:rPr>
                <w:bCs/>
                <w:sz w:val="20"/>
              </w:rPr>
              <w:t xml:space="preserve"> %</w:t>
            </w:r>
          </w:p>
        </w:tc>
        <w:tc>
          <w:tcPr>
            <w:tcW w:w="3095" w:type="dxa"/>
            <w:vMerge/>
            <w:tcBorders>
              <w:top w:val="single" w:sz="4" w:space="0" w:color="auto"/>
              <w:left w:val="single" w:sz="18" w:space="0" w:color="549E39" w:themeColor="accent1"/>
              <w:bottom w:val="nil"/>
              <w:right w:val="nil"/>
            </w:tcBorders>
            <w:shd w:val="clear" w:color="auto" w:fill="FFFFFF" w:themeFill="background1"/>
          </w:tcPr>
          <w:p w14:paraId="4AAEF389" w14:textId="77777777" w:rsidR="00196A2F" w:rsidRPr="00314829" w:rsidRDefault="00196A2F" w:rsidP="00196A2F">
            <w:pPr>
              <w:cnfStyle w:val="000000000000" w:firstRow="0" w:lastRow="0" w:firstColumn="0" w:lastColumn="0" w:oddVBand="0" w:evenVBand="0" w:oddHBand="0" w:evenHBand="0" w:firstRowFirstColumn="0" w:firstRowLastColumn="0" w:lastRowFirstColumn="0" w:lastRowLastColumn="0"/>
            </w:pPr>
          </w:p>
        </w:tc>
      </w:tr>
      <w:tr w:rsidR="00196A2F" w14:paraId="60D5F27B" w14:textId="77777777" w:rsidTr="006C668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4" w:type="dxa"/>
            <w:tcBorders>
              <w:top w:val="nil"/>
              <w:left w:val="single" w:sz="18" w:space="0" w:color="549E39" w:themeColor="accent1"/>
              <w:bottom w:val="single" w:sz="18" w:space="0" w:color="549E39" w:themeColor="accent1"/>
              <w:right w:val="single" w:sz="4" w:space="0" w:color="549E39" w:themeColor="accent1"/>
            </w:tcBorders>
          </w:tcPr>
          <w:p w14:paraId="4129F418" w14:textId="3A266A14" w:rsidR="00196A2F" w:rsidRPr="00314829" w:rsidRDefault="00196A2F" w:rsidP="00196A2F">
            <w:pPr>
              <w:jc w:val="right"/>
              <w:rPr>
                <w:b w:val="0"/>
                <w:color w:val="2A4F1C" w:themeColor="accent1" w:themeShade="80"/>
                <w:sz w:val="20"/>
              </w:rPr>
            </w:pPr>
            <w:r w:rsidRPr="00314829">
              <w:rPr>
                <w:rFonts w:ascii="Arial" w:hAnsi="Arial" w:cs="Arial"/>
                <w:sz w:val="20"/>
              </w:rPr>
              <w:t>Sous contrat</w:t>
            </w:r>
          </w:p>
        </w:tc>
        <w:tc>
          <w:tcPr>
            <w:tcW w:w="874" w:type="dxa"/>
            <w:tcBorders>
              <w:top w:val="nil"/>
              <w:left w:val="single" w:sz="4" w:space="0" w:color="549E39" w:themeColor="accent1"/>
              <w:bottom w:val="single" w:sz="18" w:space="0" w:color="549E39" w:themeColor="accent1"/>
              <w:right w:val="single" w:sz="4" w:space="0" w:color="549E39" w:themeColor="accent1"/>
            </w:tcBorders>
            <w:vAlign w:val="center"/>
          </w:tcPr>
          <w:p w14:paraId="018621CD" w14:textId="48628600" w:rsidR="00196A2F" w:rsidRPr="00314829" w:rsidRDefault="00E93E84" w:rsidP="000E29E5">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314829">
              <w:rPr>
                <w:rFonts w:ascii="Arial" w:hAnsi="Arial" w:cs="Arial"/>
                <w:bCs/>
                <w:sz w:val="20"/>
              </w:rPr>
              <w:t>32</w:t>
            </w:r>
            <w:r w:rsidR="00591F34" w:rsidRPr="00314829">
              <w:rPr>
                <w:rFonts w:ascii="Arial" w:hAnsi="Arial" w:cs="Arial"/>
                <w:bCs/>
                <w:sz w:val="20"/>
              </w:rPr>
              <w:t xml:space="preserve"> %</w:t>
            </w:r>
          </w:p>
        </w:tc>
        <w:tc>
          <w:tcPr>
            <w:tcW w:w="969" w:type="dxa"/>
            <w:tcBorders>
              <w:top w:val="nil"/>
              <w:left w:val="single" w:sz="4" w:space="0" w:color="549E39" w:themeColor="accent1"/>
              <w:bottom w:val="single" w:sz="18" w:space="0" w:color="549E39" w:themeColor="accent1"/>
              <w:right w:val="single" w:sz="4" w:space="0" w:color="549E39" w:themeColor="accent1"/>
            </w:tcBorders>
            <w:vAlign w:val="center"/>
          </w:tcPr>
          <w:p w14:paraId="11CB6A3A" w14:textId="20A6DBDE" w:rsidR="00196A2F" w:rsidRPr="00314829" w:rsidRDefault="00D3021B" w:rsidP="00196A2F">
            <w:pPr>
              <w:jc w:val="right"/>
              <w:cnfStyle w:val="000000100000" w:firstRow="0" w:lastRow="0" w:firstColumn="0" w:lastColumn="0" w:oddVBand="0" w:evenVBand="0" w:oddHBand="1" w:evenHBand="0" w:firstRowFirstColumn="0" w:firstRowLastColumn="0" w:lastRowFirstColumn="0" w:lastRowLastColumn="0"/>
              <w:rPr>
                <w:bCs/>
                <w:sz w:val="20"/>
              </w:rPr>
            </w:pPr>
            <w:r w:rsidRPr="00314829">
              <w:rPr>
                <w:bCs/>
                <w:sz w:val="20"/>
              </w:rPr>
              <w:t>19</w:t>
            </w:r>
            <w:r w:rsidR="00EC2B1F" w:rsidRPr="00314829">
              <w:rPr>
                <w:bCs/>
                <w:sz w:val="20"/>
              </w:rPr>
              <w:t xml:space="preserve"> %</w:t>
            </w:r>
          </w:p>
        </w:tc>
        <w:tc>
          <w:tcPr>
            <w:tcW w:w="1213" w:type="dxa"/>
            <w:tcBorders>
              <w:top w:val="nil"/>
              <w:left w:val="single" w:sz="4" w:space="0" w:color="549E39" w:themeColor="accent1"/>
              <w:bottom w:val="single" w:sz="18" w:space="0" w:color="549E39" w:themeColor="accent1"/>
              <w:right w:val="single" w:sz="4" w:space="0" w:color="549E39" w:themeColor="accent1"/>
            </w:tcBorders>
          </w:tcPr>
          <w:p w14:paraId="43B6E1C0" w14:textId="33A5DD7F" w:rsidR="00196A2F" w:rsidRPr="00314829" w:rsidRDefault="00D3021B" w:rsidP="00196A2F">
            <w:pPr>
              <w:jc w:val="right"/>
              <w:cnfStyle w:val="000000100000" w:firstRow="0" w:lastRow="0" w:firstColumn="0" w:lastColumn="0" w:oddVBand="0" w:evenVBand="0" w:oddHBand="1" w:evenHBand="0" w:firstRowFirstColumn="0" w:firstRowLastColumn="0" w:lastRowFirstColumn="0" w:lastRowLastColumn="0"/>
              <w:rPr>
                <w:bCs/>
                <w:sz w:val="20"/>
              </w:rPr>
            </w:pPr>
            <w:r w:rsidRPr="00314829">
              <w:rPr>
                <w:bCs/>
                <w:sz w:val="20"/>
              </w:rPr>
              <w:t>6</w:t>
            </w:r>
            <w:r w:rsidR="00EC2B1F" w:rsidRPr="00314829">
              <w:rPr>
                <w:bCs/>
                <w:sz w:val="20"/>
              </w:rPr>
              <w:t xml:space="preserve"> %</w:t>
            </w:r>
          </w:p>
        </w:tc>
        <w:tc>
          <w:tcPr>
            <w:tcW w:w="992" w:type="dxa"/>
            <w:tcBorders>
              <w:top w:val="nil"/>
              <w:left w:val="single" w:sz="4" w:space="0" w:color="549E39" w:themeColor="accent1"/>
              <w:bottom w:val="single" w:sz="18" w:space="0" w:color="549E39" w:themeColor="accent1"/>
              <w:right w:val="single" w:sz="4" w:space="0" w:color="549E39" w:themeColor="accent1"/>
            </w:tcBorders>
          </w:tcPr>
          <w:p w14:paraId="59FF6E4F" w14:textId="194BF936" w:rsidR="00196A2F" w:rsidRPr="00314829" w:rsidRDefault="00D3021B" w:rsidP="00196A2F">
            <w:pPr>
              <w:jc w:val="right"/>
              <w:cnfStyle w:val="000000100000" w:firstRow="0" w:lastRow="0" w:firstColumn="0" w:lastColumn="0" w:oddVBand="0" w:evenVBand="0" w:oddHBand="1" w:evenHBand="0" w:firstRowFirstColumn="0" w:firstRowLastColumn="0" w:lastRowFirstColumn="0" w:lastRowLastColumn="0"/>
              <w:rPr>
                <w:bCs/>
                <w:sz w:val="20"/>
              </w:rPr>
            </w:pPr>
            <w:r w:rsidRPr="00314829">
              <w:rPr>
                <w:bCs/>
                <w:sz w:val="20"/>
              </w:rPr>
              <w:t>36</w:t>
            </w:r>
            <w:r w:rsidR="00EC2B1F" w:rsidRPr="00314829">
              <w:rPr>
                <w:bCs/>
                <w:sz w:val="20"/>
              </w:rPr>
              <w:t xml:space="preserve"> %</w:t>
            </w:r>
          </w:p>
        </w:tc>
        <w:tc>
          <w:tcPr>
            <w:tcW w:w="992" w:type="dxa"/>
            <w:tcBorders>
              <w:top w:val="nil"/>
              <w:left w:val="single" w:sz="4" w:space="0" w:color="549E39" w:themeColor="accent1"/>
              <w:bottom w:val="single" w:sz="18" w:space="0" w:color="549E39" w:themeColor="accent1"/>
              <w:right w:val="single" w:sz="4" w:space="0" w:color="549E39" w:themeColor="accent1"/>
            </w:tcBorders>
          </w:tcPr>
          <w:p w14:paraId="3737AFE8" w14:textId="33BBF95A" w:rsidR="00196A2F" w:rsidRPr="00314829" w:rsidRDefault="00D3021B" w:rsidP="00196A2F">
            <w:pPr>
              <w:jc w:val="right"/>
              <w:cnfStyle w:val="000000100000" w:firstRow="0" w:lastRow="0" w:firstColumn="0" w:lastColumn="0" w:oddVBand="0" w:evenVBand="0" w:oddHBand="1" w:evenHBand="0" w:firstRowFirstColumn="0" w:firstRowLastColumn="0" w:lastRowFirstColumn="0" w:lastRowLastColumn="0"/>
              <w:rPr>
                <w:bCs/>
                <w:sz w:val="20"/>
              </w:rPr>
            </w:pPr>
            <w:r w:rsidRPr="00314829">
              <w:rPr>
                <w:bCs/>
                <w:sz w:val="20"/>
              </w:rPr>
              <w:t>6</w:t>
            </w:r>
            <w:r w:rsidR="00591F34" w:rsidRPr="00314829">
              <w:rPr>
                <w:bCs/>
                <w:sz w:val="20"/>
              </w:rPr>
              <w:t xml:space="preserve"> %</w:t>
            </w:r>
          </w:p>
        </w:tc>
        <w:tc>
          <w:tcPr>
            <w:tcW w:w="829" w:type="dxa"/>
            <w:tcBorders>
              <w:top w:val="nil"/>
              <w:left w:val="single" w:sz="4" w:space="0" w:color="549E39" w:themeColor="accent1"/>
              <w:bottom w:val="single" w:sz="18" w:space="0" w:color="549E39" w:themeColor="accent1"/>
              <w:right w:val="single" w:sz="18" w:space="0" w:color="549E39" w:themeColor="accent1"/>
            </w:tcBorders>
            <w:vAlign w:val="center"/>
          </w:tcPr>
          <w:p w14:paraId="6E641DA3" w14:textId="23EA4B5F" w:rsidR="00196A2F" w:rsidRPr="00591F34" w:rsidRDefault="00314829" w:rsidP="00196A2F">
            <w:pPr>
              <w:jc w:val="right"/>
              <w:cnfStyle w:val="000000100000" w:firstRow="0" w:lastRow="0" w:firstColumn="0" w:lastColumn="0" w:oddVBand="0" w:evenVBand="0" w:oddHBand="1" w:evenHBand="0" w:firstRowFirstColumn="0" w:firstRowLastColumn="0" w:lastRowFirstColumn="0" w:lastRowLastColumn="0"/>
              <w:rPr>
                <w:bCs/>
                <w:sz w:val="20"/>
              </w:rPr>
            </w:pPr>
            <w:r w:rsidRPr="00314829">
              <w:rPr>
                <w:bCs/>
                <w:sz w:val="20"/>
              </w:rPr>
              <w:t>40</w:t>
            </w:r>
            <w:r w:rsidR="00591F34" w:rsidRPr="00314829">
              <w:rPr>
                <w:bCs/>
                <w:sz w:val="20"/>
              </w:rPr>
              <w:t xml:space="preserve"> %</w:t>
            </w:r>
          </w:p>
        </w:tc>
        <w:tc>
          <w:tcPr>
            <w:tcW w:w="3095" w:type="dxa"/>
            <w:vMerge/>
            <w:tcBorders>
              <w:top w:val="single" w:sz="4" w:space="0" w:color="auto"/>
              <w:left w:val="single" w:sz="18" w:space="0" w:color="549E39" w:themeColor="accent1"/>
              <w:bottom w:val="nil"/>
              <w:right w:val="nil"/>
            </w:tcBorders>
            <w:shd w:val="clear" w:color="auto" w:fill="FFFFFF" w:themeFill="background1"/>
          </w:tcPr>
          <w:p w14:paraId="5213E8C7" w14:textId="77777777" w:rsidR="00196A2F" w:rsidRDefault="00196A2F" w:rsidP="00196A2F">
            <w:pPr>
              <w:cnfStyle w:val="000000100000" w:firstRow="0" w:lastRow="0" w:firstColumn="0" w:lastColumn="0" w:oddVBand="0" w:evenVBand="0" w:oddHBand="1" w:evenHBand="0" w:firstRowFirstColumn="0" w:firstRowLastColumn="0" w:lastRowFirstColumn="0" w:lastRowLastColumn="0"/>
            </w:pPr>
          </w:p>
        </w:tc>
      </w:tr>
    </w:tbl>
    <w:p w14:paraId="16AF83CB" w14:textId="4641AD24" w:rsidR="0050695D" w:rsidRDefault="0050695D">
      <w:pPr>
        <w:rPr>
          <w:b/>
          <w:color w:val="3E762A" w:themeColor="accent1" w:themeShade="BF"/>
          <w:spacing w:val="15"/>
          <w:sz w:val="16"/>
          <w:szCs w:val="16"/>
        </w:rPr>
      </w:pPr>
    </w:p>
    <w:p w14:paraId="603A24E8" w14:textId="719A7E08" w:rsidR="00726E09" w:rsidRPr="00314829" w:rsidRDefault="00FA10C4">
      <w:pPr>
        <w:rPr>
          <w:rFonts w:cstheme="minorHAnsi"/>
        </w:rPr>
      </w:pPr>
      <w:r w:rsidRPr="00D3021B">
        <w:rPr>
          <w:rFonts w:cstheme="minorHAnsi"/>
          <w:b/>
          <w:bCs/>
        </w:rPr>
        <w:t>Toutes variétés confondues</w:t>
      </w:r>
      <w:r w:rsidRPr="00BC4781">
        <w:rPr>
          <w:rFonts w:cstheme="minorHAnsi"/>
        </w:rPr>
        <w:t>, il r</w:t>
      </w:r>
      <w:r w:rsidR="009A706B" w:rsidRPr="00BC4781">
        <w:rPr>
          <w:rFonts w:cstheme="minorHAnsi"/>
        </w:rPr>
        <w:t>estait de l’ordre de 4</w:t>
      </w:r>
      <w:r w:rsidR="00AD4ACF" w:rsidRPr="00BC4781">
        <w:rPr>
          <w:rFonts w:cstheme="minorHAnsi"/>
        </w:rPr>
        <w:t>4</w:t>
      </w:r>
      <w:r w:rsidR="009A706B" w:rsidRPr="00BC4781">
        <w:rPr>
          <w:rFonts w:cstheme="minorHAnsi"/>
        </w:rPr>
        <w:t xml:space="preserve"> % de la production initiale 202</w:t>
      </w:r>
      <w:r w:rsidR="00AD4ACF" w:rsidRPr="00BC4781">
        <w:rPr>
          <w:rFonts w:cstheme="minorHAnsi"/>
        </w:rPr>
        <w:t>3</w:t>
      </w:r>
      <w:r w:rsidR="009A706B" w:rsidRPr="00BC4781">
        <w:rPr>
          <w:rFonts w:cstheme="minorHAnsi"/>
        </w:rPr>
        <w:t xml:space="preserve"> dans les hangars chez les producteurs au 1</w:t>
      </w:r>
      <w:r w:rsidR="009A706B" w:rsidRPr="00BC4781">
        <w:rPr>
          <w:rFonts w:cstheme="minorHAnsi"/>
          <w:vertAlign w:val="superscript"/>
        </w:rPr>
        <w:t>er</w:t>
      </w:r>
      <w:r w:rsidR="009A706B" w:rsidRPr="00BC4781">
        <w:rPr>
          <w:rFonts w:cstheme="minorHAnsi"/>
        </w:rPr>
        <w:t xml:space="preserve"> avril 202</w:t>
      </w:r>
      <w:r w:rsidR="00AD4ACF" w:rsidRPr="00BC4781">
        <w:rPr>
          <w:rFonts w:cstheme="minorHAnsi"/>
        </w:rPr>
        <w:t>4</w:t>
      </w:r>
      <w:r w:rsidR="009A706B" w:rsidRPr="00BC4781">
        <w:rPr>
          <w:rFonts w:cstheme="minorHAnsi"/>
        </w:rPr>
        <w:t xml:space="preserve">. Cette proportion est </w:t>
      </w:r>
      <w:r w:rsidR="00AD4ACF" w:rsidRPr="00BC4781">
        <w:rPr>
          <w:rFonts w:cstheme="minorHAnsi"/>
        </w:rPr>
        <w:t>inférieure à l’an dernier (47 %),</w:t>
      </w:r>
      <w:r w:rsidR="00BC4781" w:rsidRPr="00BC4781">
        <w:rPr>
          <w:rFonts w:cstheme="minorHAnsi"/>
        </w:rPr>
        <w:t xml:space="preserve"> semblable à la moyenne triennale, e</w:t>
      </w:r>
      <w:r w:rsidR="00D3021B">
        <w:rPr>
          <w:rFonts w:cstheme="minorHAnsi"/>
        </w:rPr>
        <w:t>t</w:t>
      </w:r>
      <w:r w:rsidR="00BC4781" w:rsidRPr="00BC4781">
        <w:rPr>
          <w:rFonts w:cstheme="minorHAnsi"/>
        </w:rPr>
        <w:t xml:space="preserve"> supérieure à la moyenne quinquennale (42 %). </w:t>
      </w:r>
      <w:r w:rsidRPr="00BC4781">
        <w:rPr>
          <w:rFonts w:cstheme="minorHAnsi"/>
        </w:rPr>
        <w:t xml:space="preserve">Les </w:t>
      </w:r>
      <w:r w:rsidR="00D3021B">
        <w:rPr>
          <w:rFonts w:cstheme="minorHAnsi"/>
        </w:rPr>
        <w:t>livraisons</w:t>
      </w:r>
      <w:r w:rsidRPr="00BC4781">
        <w:rPr>
          <w:rFonts w:cstheme="minorHAnsi"/>
        </w:rPr>
        <w:t xml:space="preserve"> ces 2 derniers</w:t>
      </w:r>
      <w:r w:rsidR="004B5B7D" w:rsidRPr="00BC4781">
        <w:rPr>
          <w:rFonts w:cstheme="minorHAnsi"/>
        </w:rPr>
        <w:t xml:space="preserve"> mois</w:t>
      </w:r>
      <w:r w:rsidR="009E664A" w:rsidRPr="00BC4781">
        <w:rPr>
          <w:rFonts w:cstheme="minorHAnsi"/>
        </w:rPr>
        <w:t xml:space="preserve"> ont concerné </w:t>
      </w:r>
      <w:r w:rsidR="00BC4781" w:rsidRPr="00BC4781">
        <w:rPr>
          <w:rFonts w:cstheme="minorHAnsi"/>
        </w:rPr>
        <w:t>20</w:t>
      </w:r>
      <w:r w:rsidR="009E664A" w:rsidRPr="00BC4781">
        <w:rPr>
          <w:rFonts w:cstheme="minorHAnsi"/>
        </w:rPr>
        <w:t xml:space="preserve"> % de la production initiale, contre </w:t>
      </w:r>
      <w:r w:rsidR="00BC4781" w:rsidRPr="00BC4781">
        <w:rPr>
          <w:rFonts w:cstheme="minorHAnsi"/>
        </w:rPr>
        <w:t xml:space="preserve">19 % l’an dernier, </w:t>
      </w:r>
      <w:r w:rsidR="009E664A" w:rsidRPr="00BC4781">
        <w:rPr>
          <w:rFonts w:cstheme="minorHAnsi"/>
        </w:rPr>
        <w:t xml:space="preserve">24 </w:t>
      </w:r>
      <w:r w:rsidR="00D3021B">
        <w:rPr>
          <w:rFonts w:cstheme="minorHAnsi"/>
        </w:rPr>
        <w:t xml:space="preserve">% </w:t>
      </w:r>
      <w:r w:rsidR="00BC4781" w:rsidRPr="00BC4781">
        <w:rPr>
          <w:rFonts w:cstheme="minorHAnsi"/>
        </w:rPr>
        <w:t xml:space="preserve">en 2022, et </w:t>
      </w:r>
      <w:r w:rsidR="009E664A" w:rsidRPr="00BC4781">
        <w:rPr>
          <w:rFonts w:cstheme="minorHAnsi"/>
        </w:rPr>
        <w:t xml:space="preserve">de 17 à </w:t>
      </w:r>
      <w:r w:rsidR="00BC4781" w:rsidRPr="00BC4781">
        <w:rPr>
          <w:rFonts w:cstheme="minorHAnsi"/>
        </w:rPr>
        <w:t>21</w:t>
      </w:r>
      <w:r w:rsidR="009E664A" w:rsidRPr="00BC4781">
        <w:rPr>
          <w:rFonts w:cstheme="minorHAnsi"/>
        </w:rPr>
        <w:t xml:space="preserve"> % lors des </w:t>
      </w:r>
      <w:r w:rsidR="00BC4781" w:rsidRPr="00BC4781">
        <w:rPr>
          <w:rFonts w:cstheme="minorHAnsi"/>
        </w:rPr>
        <w:t>4</w:t>
      </w:r>
      <w:r w:rsidR="009E664A" w:rsidRPr="00BC4781">
        <w:rPr>
          <w:rFonts w:cstheme="minorHAnsi"/>
        </w:rPr>
        <w:t xml:space="preserve"> années antérieures. </w:t>
      </w:r>
      <w:r w:rsidR="00BC4781" w:rsidRPr="00BC4781">
        <w:rPr>
          <w:rFonts w:cstheme="minorHAnsi"/>
        </w:rPr>
        <w:t xml:space="preserve">Il reste particulièrement peu </w:t>
      </w:r>
      <w:r w:rsidR="00BC4781" w:rsidRPr="00BC4781">
        <w:rPr>
          <w:rFonts w:cstheme="minorHAnsi"/>
          <w:b/>
          <w:bCs/>
        </w:rPr>
        <w:t>d’Innovator</w:t>
      </w:r>
      <w:r w:rsidR="00BC4781" w:rsidRPr="00BC4781">
        <w:rPr>
          <w:rFonts w:cstheme="minorHAnsi"/>
        </w:rPr>
        <w:t xml:space="preserve"> (10 % de la récolte initiale) et de </w:t>
      </w:r>
      <w:r w:rsidR="00BC4781" w:rsidRPr="00BC4781">
        <w:rPr>
          <w:rFonts w:cstheme="minorHAnsi"/>
          <w:b/>
          <w:bCs/>
        </w:rPr>
        <w:t>Challenger</w:t>
      </w:r>
      <w:r w:rsidR="00BC4781" w:rsidRPr="00BC4781">
        <w:rPr>
          <w:rFonts w:cstheme="minorHAnsi"/>
        </w:rPr>
        <w:t xml:space="preserve"> (13 %) en stock</w:t>
      </w:r>
      <w:r w:rsidR="00BC4781">
        <w:rPr>
          <w:rFonts w:cstheme="minorHAnsi"/>
        </w:rPr>
        <w:t>, mais relativement beaucoup de Bintje (31 %)</w:t>
      </w:r>
      <w:r w:rsidR="00BC4781" w:rsidRPr="00BC4781">
        <w:rPr>
          <w:rFonts w:cstheme="minorHAnsi"/>
        </w:rPr>
        <w:t xml:space="preserve">. </w:t>
      </w:r>
      <w:r w:rsidR="009E664A" w:rsidRPr="00F06084">
        <w:rPr>
          <w:rFonts w:cstheme="minorHAnsi"/>
        </w:rPr>
        <w:t>Par contre</w:t>
      </w:r>
      <w:r w:rsidR="00726E09" w:rsidRPr="00F06084">
        <w:rPr>
          <w:rFonts w:cstheme="minorHAnsi"/>
        </w:rPr>
        <w:t xml:space="preserve">, avec un peu </w:t>
      </w:r>
      <w:r w:rsidR="00F06084" w:rsidRPr="00F06084">
        <w:rPr>
          <w:rFonts w:cstheme="minorHAnsi"/>
        </w:rPr>
        <w:t>moins</w:t>
      </w:r>
      <w:r w:rsidR="00726E09" w:rsidRPr="00F06084">
        <w:rPr>
          <w:rFonts w:cstheme="minorHAnsi"/>
        </w:rPr>
        <w:t xml:space="preserve"> de la moitié de la récolte initiale, le stock de </w:t>
      </w:r>
      <w:r w:rsidR="00726E09" w:rsidRPr="00F06084">
        <w:rPr>
          <w:rFonts w:cstheme="minorHAnsi"/>
          <w:b/>
          <w:bCs/>
        </w:rPr>
        <w:t>Fontane</w:t>
      </w:r>
      <w:r w:rsidR="00726E09" w:rsidRPr="00F06084">
        <w:rPr>
          <w:rFonts w:cstheme="minorHAnsi"/>
        </w:rPr>
        <w:t xml:space="preserve"> </w:t>
      </w:r>
      <w:r w:rsidR="00F06084" w:rsidRPr="00F06084">
        <w:rPr>
          <w:rFonts w:cstheme="minorHAnsi"/>
        </w:rPr>
        <w:t>est légèrement inférieur</w:t>
      </w:r>
      <w:r w:rsidR="00726E09" w:rsidRPr="00F06084">
        <w:rPr>
          <w:rFonts w:cstheme="minorHAnsi"/>
        </w:rPr>
        <w:t xml:space="preserve"> à la moyenne des 3 ou 5 dernières années (</w:t>
      </w:r>
      <w:r w:rsidR="00F06084" w:rsidRPr="00F06084">
        <w:rPr>
          <w:rFonts w:cstheme="minorHAnsi"/>
        </w:rPr>
        <w:t xml:space="preserve">50 à </w:t>
      </w:r>
      <w:r w:rsidR="00726E09" w:rsidRPr="00F06084">
        <w:rPr>
          <w:rFonts w:cstheme="minorHAnsi"/>
        </w:rPr>
        <w:t>51 %)</w:t>
      </w:r>
      <w:r w:rsidR="00646BAD">
        <w:rPr>
          <w:rFonts w:cstheme="minorHAnsi"/>
        </w:rPr>
        <w:t> ; son</w:t>
      </w:r>
      <w:r w:rsidR="00F06084" w:rsidRPr="00F06084">
        <w:rPr>
          <w:rFonts w:cstheme="minorHAnsi"/>
        </w:rPr>
        <w:t xml:space="preserve"> </w:t>
      </w:r>
      <w:r w:rsidR="00726E09" w:rsidRPr="00F06084">
        <w:rPr>
          <w:rFonts w:cstheme="minorHAnsi"/>
        </w:rPr>
        <w:t>dégagement ces 2 derniers mois (</w:t>
      </w:r>
      <w:r w:rsidR="00F06084" w:rsidRPr="00F06084">
        <w:rPr>
          <w:rFonts w:cstheme="minorHAnsi"/>
        </w:rPr>
        <w:t xml:space="preserve">estimé à </w:t>
      </w:r>
      <w:r w:rsidR="00726E09" w:rsidRPr="00F06084">
        <w:rPr>
          <w:rFonts w:cstheme="minorHAnsi"/>
        </w:rPr>
        <w:t>2</w:t>
      </w:r>
      <w:r w:rsidR="00F06084" w:rsidRPr="00F06084">
        <w:rPr>
          <w:rFonts w:cstheme="minorHAnsi"/>
        </w:rPr>
        <w:t>4</w:t>
      </w:r>
      <w:r w:rsidR="00726E09" w:rsidRPr="00F06084">
        <w:rPr>
          <w:rFonts w:cstheme="minorHAnsi"/>
        </w:rPr>
        <w:t xml:space="preserve"> % de la récolte initial</w:t>
      </w:r>
      <w:r w:rsidR="00F06084" w:rsidRPr="00F06084">
        <w:rPr>
          <w:rFonts w:cstheme="minorHAnsi"/>
        </w:rPr>
        <w:t>e</w:t>
      </w:r>
      <w:r w:rsidR="00726E09" w:rsidRPr="00F06084">
        <w:rPr>
          <w:rFonts w:cstheme="minorHAnsi"/>
        </w:rPr>
        <w:t>)</w:t>
      </w:r>
      <w:r w:rsidR="00F06084" w:rsidRPr="00F06084">
        <w:rPr>
          <w:rFonts w:cstheme="minorHAnsi"/>
        </w:rPr>
        <w:t xml:space="preserve"> est supérieur à toutes les années récentes (variant de 17 à 23 %) hormis 2022 (29 %)</w:t>
      </w:r>
      <w:r w:rsidR="00726E09" w:rsidRPr="00F06084">
        <w:rPr>
          <w:rFonts w:cstheme="minorHAnsi"/>
        </w:rPr>
        <w:t xml:space="preserve">. </w:t>
      </w:r>
      <w:r w:rsidR="00F06084" w:rsidRPr="00314829">
        <w:rPr>
          <w:rFonts w:cstheme="minorHAnsi"/>
        </w:rPr>
        <w:t>L</w:t>
      </w:r>
      <w:r w:rsidR="00726E09" w:rsidRPr="00314829">
        <w:rPr>
          <w:rFonts w:cstheme="minorHAnsi"/>
        </w:rPr>
        <w:t>e stock des « </w:t>
      </w:r>
      <w:r w:rsidR="00726E09" w:rsidRPr="00314829">
        <w:rPr>
          <w:rFonts w:cstheme="minorHAnsi"/>
          <w:b/>
          <w:bCs/>
        </w:rPr>
        <w:t>autres variétés</w:t>
      </w:r>
      <w:r w:rsidR="00726E09" w:rsidRPr="00314829">
        <w:rPr>
          <w:rFonts w:cstheme="minorHAnsi"/>
        </w:rPr>
        <w:t> » (dont Markies, Agria, Alegria, variétés du marché du frais, variétés à chips…)</w:t>
      </w:r>
      <w:r w:rsidR="00314829" w:rsidRPr="00314829">
        <w:rPr>
          <w:rFonts w:cstheme="minorHAnsi"/>
        </w:rPr>
        <w:t xml:space="preserve"> </w:t>
      </w:r>
      <w:r w:rsidR="00F06084" w:rsidRPr="00314829">
        <w:rPr>
          <w:rFonts w:cstheme="minorHAnsi"/>
        </w:rPr>
        <w:t xml:space="preserve">est évalué à </w:t>
      </w:r>
      <w:r w:rsidR="00314829" w:rsidRPr="00314829">
        <w:rPr>
          <w:rFonts w:cstheme="minorHAnsi"/>
        </w:rPr>
        <w:t>50</w:t>
      </w:r>
      <w:r w:rsidR="00726E09" w:rsidRPr="00314829">
        <w:rPr>
          <w:rFonts w:cstheme="minorHAnsi"/>
        </w:rPr>
        <w:t xml:space="preserve"> % de la production initiale, </w:t>
      </w:r>
      <w:r w:rsidR="00314829" w:rsidRPr="00314829">
        <w:rPr>
          <w:rFonts w:cstheme="minorHAnsi"/>
        </w:rPr>
        <w:t>bien inférieur à l’an passé (57 %) mais supérieur aux moyennes triennale (48 %) et quinquennale (47 %).</w:t>
      </w:r>
      <w:r w:rsidR="00726E09" w:rsidRPr="00314829">
        <w:rPr>
          <w:rFonts w:cstheme="minorHAnsi"/>
        </w:rPr>
        <w:t xml:space="preserve"> </w:t>
      </w:r>
    </w:p>
    <w:p w14:paraId="44866B9D" w14:textId="244DB19E" w:rsidR="005D2382" w:rsidRDefault="005D2382">
      <w:pPr>
        <w:rPr>
          <w:b/>
          <w:color w:val="3E762A" w:themeColor="accent1" w:themeShade="BF"/>
          <w:spacing w:val="15"/>
        </w:rPr>
      </w:pPr>
      <w:r w:rsidRPr="00421354">
        <w:rPr>
          <w:rFonts w:cstheme="minorHAnsi"/>
          <w:b/>
          <w:bCs/>
        </w:rPr>
        <w:t>Globalement,</w:t>
      </w:r>
      <w:r w:rsidR="004B5B7D" w:rsidRPr="00421354">
        <w:rPr>
          <w:rFonts w:cstheme="minorHAnsi"/>
          <w:b/>
          <w:bCs/>
        </w:rPr>
        <w:t xml:space="preserve"> p</w:t>
      </w:r>
      <w:r w:rsidR="00421354" w:rsidRPr="00421354">
        <w:rPr>
          <w:rFonts w:cstheme="minorHAnsi"/>
          <w:b/>
          <w:bCs/>
        </w:rPr>
        <w:t>rès de 75</w:t>
      </w:r>
      <w:r w:rsidR="00E53F28" w:rsidRPr="00421354">
        <w:rPr>
          <w:rFonts w:cstheme="minorHAnsi"/>
          <w:b/>
          <w:bCs/>
        </w:rPr>
        <w:t xml:space="preserve"> %</w:t>
      </w:r>
      <w:r w:rsidR="004B5B7D" w:rsidRPr="00421354">
        <w:rPr>
          <w:rFonts w:cstheme="minorHAnsi"/>
          <w:b/>
          <w:bCs/>
        </w:rPr>
        <w:t xml:space="preserve"> des stocks actuels </w:t>
      </w:r>
      <w:r w:rsidR="002A766E" w:rsidRPr="00421354">
        <w:rPr>
          <w:rFonts w:cstheme="minorHAnsi"/>
          <w:b/>
          <w:bCs/>
        </w:rPr>
        <w:t xml:space="preserve">(toutes variétés) </w:t>
      </w:r>
      <w:r w:rsidR="004B5B7D" w:rsidRPr="00421354">
        <w:rPr>
          <w:rFonts w:cstheme="minorHAnsi"/>
          <w:b/>
          <w:bCs/>
        </w:rPr>
        <w:t>sont déjà vendus (contractés</w:t>
      </w:r>
      <w:r w:rsidR="002F2DF2" w:rsidRPr="00421354">
        <w:rPr>
          <w:rFonts w:cstheme="minorHAnsi"/>
          <w:b/>
          <w:bCs/>
        </w:rPr>
        <w:t xml:space="preserve"> en présaison</w:t>
      </w:r>
      <w:r w:rsidR="00421354" w:rsidRPr="00421354">
        <w:rPr>
          <w:rFonts w:cstheme="minorHAnsi"/>
          <w:b/>
          <w:bCs/>
        </w:rPr>
        <w:t xml:space="preserve"> ou vendus sur le marché libre de la saison actuelle</w:t>
      </w:r>
      <w:r w:rsidR="00421354">
        <w:rPr>
          <w:rFonts w:cstheme="minorHAnsi"/>
          <w:b/>
          <w:bCs/>
        </w:rPr>
        <w:t xml:space="preserve"> mais pas encore livrés</w:t>
      </w:r>
      <w:r w:rsidR="004B5B7D" w:rsidRPr="00421354">
        <w:rPr>
          <w:rFonts w:cstheme="minorHAnsi"/>
          <w:b/>
          <w:bCs/>
        </w:rPr>
        <w:t>)</w:t>
      </w:r>
      <w:r w:rsidR="004B5B7D" w:rsidRPr="00421354">
        <w:rPr>
          <w:rFonts w:cstheme="minorHAnsi"/>
        </w:rPr>
        <w:t xml:space="preserve">. Les volumes libres actuels concernent </w:t>
      </w:r>
      <w:r w:rsidR="002A766E" w:rsidRPr="00421354">
        <w:rPr>
          <w:rFonts w:cstheme="minorHAnsi"/>
        </w:rPr>
        <w:t xml:space="preserve">environ </w:t>
      </w:r>
      <w:r w:rsidR="00421354" w:rsidRPr="00421354">
        <w:rPr>
          <w:rFonts w:cstheme="minorHAnsi"/>
        </w:rPr>
        <w:t>12</w:t>
      </w:r>
      <w:r w:rsidR="002A766E" w:rsidRPr="00421354">
        <w:rPr>
          <w:rFonts w:cstheme="minorHAnsi"/>
        </w:rPr>
        <w:t xml:space="preserve"> % de la production initiale</w:t>
      </w:r>
      <w:r w:rsidR="00421354" w:rsidRPr="00421354">
        <w:rPr>
          <w:rFonts w:cstheme="minorHAnsi"/>
        </w:rPr>
        <w:t>, c’est plus que lors des dernières saisons</w:t>
      </w:r>
      <w:r w:rsidR="002A766E" w:rsidRPr="00421354">
        <w:rPr>
          <w:rFonts w:cstheme="minorHAnsi"/>
        </w:rPr>
        <w:t xml:space="preserve">. </w:t>
      </w:r>
      <w:r w:rsidR="00421354" w:rsidRPr="00421354">
        <w:rPr>
          <w:rFonts w:cstheme="minorHAnsi"/>
        </w:rPr>
        <w:t>Ces constats valent également p</w:t>
      </w:r>
      <w:r w:rsidR="002A766E" w:rsidRPr="00421354">
        <w:rPr>
          <w:rFonts w:cstheme="minorHAnsi"/>
        </w:rPr>
        <w:t xml:space="preserve">our Fontane. </w:t>
      </w:r>
      <w:r w:rsidR="00421354" w:rsidRPr="00421354">
        <w:rPr>
          <w:rFonts w:cstheme="minorHAnsi"/>
        </w:rPr>
        <w:t xml:space="preserve">Toujours en proportion de la récolte initiale, </w:t>
      </w:r>
      <w:r w:rsidR="002A766E" w:rsidRPr="00421354">
        <w:rPr>
          <w:rFonts w:cstheme="minorHAnsi"/>
        </w:rPr>
        <w:t>il reste</w:t>
      </w:r>
      <w:r w:rsidR="00421354">
        <w:rPr>
          <w:rFonts w:cstheme="minorHAnsi"/>
        </w:rPr>
        <w:t>rait</w:t>
      </w:r>
      <w:r w:rsidR="002A766E" w:rsidRPr="00421354">
        <w:rPr>
          <w:rFonts w:cstheme="minorHAnsi"/>
        </w:rPr>
        <w:t xml:space="preserve"> </w:t>
      </w:r>
      <w:r w:rsidR="00421354" w:rsidRPr="00421354">
        <w:rPr>
          <w:rFonts w:cstheme="minorHAnsi"/>
        </w:rPr>
        <w:t>moins de 5 %</w:t>
      </w:r>
      <w:r w:rsidR="002A766E" w:rsidRPr="00421354">
        <w:rPr>
          <w:rFonts w:cstheme="minorHAnsi"/>
        </w:rPr>
        <w:t xml:space="preserve"> d’Innovator</w:t>
      </w:r>
      <w:r w:rsidR="00421354" w:rsidRPr="00421354">
        <w:rPr>
          <w:rFonts w:cstheme="minorHAnsi"/>
        </w:rPr>
        <w:t xml:space="preserve"> à vendre</w:t>
      </w:r>
      <w:r w:rsidR="003E4EBE">
        <w:rPr>
          <w:rFonts w:cstheme="minorHAnsi"/>
        </w:rPr>
        <w:t xml:space="preserve"> et </w:t>
      </w:r>
      <w:r w:rsidR="00421354" w:rsidRPr="00421354">
        <w:rPr>
          <w:rFonts w:cstheme="minorHAnsi"/>
        </w:rPr>
        <w:t>moins de 10 % de Challenger</w:t>
      </w:r>
      <w:r w:rsidR="003E4EBE">
        <w:rPr>
          <w:rFonts w:cstheme="minorHAnsi"/>
        </w:rPr>
        <w:t xml:space="preserve">, chiffres semblables à l’an dernier. Par contre il resterait davantage de Bintje (12 %) et </w:t>
      </w:r>
      <w:r w:rsidR="0078109A">
        <w:rPr>
          <w:rFonts w:cstheme="minorHAnsi"/>
        </w:rPr>
        <w:t>« </w:t>
      </w:r>
      <w:r w:rsidR="003E4EBE">
        <w:rPr>
          <w:rFonts w:cstheme="minorHAnsi"/>
        </w:rPr>
        <w:t>d</w:t>
      </w:r>
      <w:r w:rsidR="002A766E" w:rsidRPr="00421354">
        <w:rPr>
          <w:rFonts w:cstheme="minorHAnsi"/>
        </w:rPr>
        <w:t>’autres variétés</w:t>
      </w:r>
      <w:r w:rsidR="003E4EBE">
        <w:rPr>
          <w:rFonts w:cstheme="minorHAnsi"/>
        </w:rPr>
        <w:t> »</w:t>
      </w:r>
      <w:r w:rsidR="002A766E" w:rsidRPr="00421354">
        <w:rPr>
          <w:rFonts w:cstheme="minorHAnsi"/>
        </w:rPr>
        <w:t> </w:t>
      </w:r>
      <w:r w:rsidR="003E4EBE">
        <w:rPr>
          <w:rFonts w:cstheme="minorHAnsi"/>
        </w:rPr>
        <w:t>(10 %) à vendre que l’année passée à la même date.</w:t>
      </w:r>
    </w:p>
    <w:p w14:paraId="54CCBFDE" w14:textId="77777777" w:rsidR="00BE6048" w:rsidRPr="0072196E" w:rsidRDefault="00BE6048" w:rsidP="00BE6048">
      <w:pPr>
        <w:pStyle w:val="Titre3"/>
      </w:pPr>
      <w:r w:rsidRPr="0072196E">
        <w:lastRenderedPageBreak/>
        <w:t xml:space="preserve">Estimation des tonnages en stock et comparaison pluriannuelle </w:t>
      </w:r>
    </w:p>
    <w:p w14:paraId="0AF158EB" w14:textId="60980A50" w:rsidR="0045083B" w:rsidRPr="003E4EBE" w:rsidRDefault="00BE6048" w:rsidP="0045083B">
      <w:pPr>
        <w:rPr>
          <w:rFonts w:cstheme="minorHAnsi"/>
          <w:color w:val="FF0000"/>
        </w:rPr>
      </w:pPr>
      <w:r w:rsidRPr="003E4EBE">
        <w:rPr>
          <w:rFonts w:cstheme="minorHAnsi"/>
        </w:rPr>
        <w:t xml:space="preserve">Selon l’enquête, </w:t>
      </w:r>
      <w:r w:rsidRPr="003E4EBE">
        <w:rPr>
          <w:rFonts w:cstheme="minorHAnsi"/>
          <w:b/>
          <w:bCs/>
        </w:rPr>
        <w:t xml:space="preserve">il restait de l’ordre de </w:t>
      </w:r>
      <w:r w:rsidR="004F2F25" w:rsidRPr="003E4EBE">
        <w:rPr>
          <w:rFonts w:cstheme="minorHAnsi"/>
          <w:b/>
          <w:bCs/>
        </w:rPr>
        <w:t>1,</w:t>
      </w:r>
      <w:r w:rsidR="003E4EBE" w:rsidRPr="003E4EBE">
        <w:rPr>
          <w:rFonts w:cstheme="minorHAnsi"/>
          <w:b/>
          <w:bCs/>
        </w:rPr>
        <w:t>82</w:t>
      </w:r>
      <w:r w:rsidRPr="003E4EBE">
        <w:rPr>
          <w:rFonts w:cstheme="minorHAnsi"/>
          <w:b/>
          <w:bCs/>
        </w:rPr>
        <w:t xml:space="preserve"> millions de tonnes </w:t>
      </w:r>
      <w:r w:rsidR="008A7521" w:rsidRPr="003E4EBE">
        <w:rPr>
          <w:rFonts w:cstheme="minorHAnsi"/>
          <w:b/>
          <w:bCs/>
        </w:rPr>
        <w:t xml:space="preserve">(Mt) </w:t>
      </w:r>
      <w:r w:rsidRPr="003E4EBE">
        <w:rPr>
          <w:rFonts w:cstheme="minorHAnsi"/>
          <w:b/>
          <w:bCs/>
        </w:rPr>
        <w:t>de variétés de conservation dans les hangars belges début</w:t>
      </w:r>
      <w:r w:rsidR="004F2F25" w:rsidRPr="003E4EBE">
        <w:rPr>
          <w:rFonts w:cstheme="minorHAnsi"/>
          <w:b/>
          <w:bCs/>
        </w:rPr>
        <w:t xml:space="preserve"> avril</w:t>
      </w:r>
      <w:r w:rsidR="008A7521" w:rsidRPr="003E4EBE">
        <w:rPr>
          <w:rFonts w:cstheme="minorHAnsi"/>
        </w:rPr>
        <w:t xml:space="preserve">, soit </w:t>
      </w:r>
      <w:r w:rsidR="003E4EBE">
        <w:rPr>
          <w:rFonts w:cstheme="minorHAnsi"/>
        </w:rPr>
        <w:t>davantage</w:t>
      </w:r>
      <w:r w:rsidR="00FB40CB" w:rsidRPr="003E4EBE">
        <w:rPr>
          <w:rFonts w:cstheme="minorHAnsi"/>
        </w:rPr>
        <w:t xml:space="preserve"> que l’an passé (1,</w:t>
      </w:r>
      <w:r w:rsidR="003E4EBE">
        <w:rPr>
          <w:rFonts w:cstheme="minorHAnsi"/>
        </w:rPr>
        <w:t>73</w:t>
      </w:r>
      <w:r w:rsidR="00FB40CB" w:rsidRPr="003E4EBE">
        <w:rPr>
          <w:rFonts w:cstheme="minorHAnsi"/>
        </w:rPr>
        <w:t xml:space="preserve"> Mt)</w:t>
      </w:r>
      <w:r w:rsidR="003E4EBE">
        <w:rPr>
          <w:rFonts w:cstheme="minorHAnsi"/>
        </w:rPr>
        <w:t xml:space="preserve">. La moyenne triennale s’élève à 1,70 Mt, et la moyenne quinquennale à 1,61 Mt. </w:t>
      </w:r>
      <w:r w:rsidR="00FB40CB" w:rsidRPr="003E4EBE">
        <w:rPr>
          <w:rFonts w:cstheme="minorHAnsi"/>
        </w:rPr>
        <w:t xml:space="preserve"> </w:t>
      </w:r>
      <w:r w:rsidR="003E4EBE">
        <w:rPr>
          <w:rFonts w:cstheme="minorHAnsi"/>
        </w:rPr>
        <w:t xml:space="preserve">Par rapport à avril 2023, le surplus de stock actuel (90.000 t) représente </w:t>
      </w:r>
      <w:r w:rsidR="00F76CDA">
        <w:rPr>
          <w:rFonts w:cstheme="minorHAnsi"/>
        </w:rPr>
        <w:t xml:space="preserve">4 à </w:t>
      </w:r>
      <w:r w:rsidR="003E4EBE">
        <w:rPr>
          <w:rFonts w:cstheme="minorHAnsi"/>
        </w:rPr>
        <w:t>5 jours des besoins de l’industrie belge (qui consomme</w:t>
      </w:r>
      <w:r w:rsidR="00F76CDA">
        <w:rPr>
          <w:rFonts w:cstheme="minorHAnsi"/>
        </w:rPr>
        <w:t xml:space="preserve"> plus de 20.000 tonnes par jour</w:t>
      </w:r>
      <w:r w:rsidR="0057741F">
        <w:rPr>
          <w:rFonts w:cstheme="minorHAnsi"/>
        </w:rPr>
        <w:t>, toutes origines confondues</w:t>
      </w:r>
      <w:r w:rsidR="00F76CDA">
        <w:rPr>
          <w:rFonts w:cstheme="minorHAnsi"/>
        </w:rPr>
        <w:t xml:space="preserve">). La production initiale 2023 était supérieure de près de 500.000 tonnes, les marchés ont donc dégagé 400.000 tonnes </w:t>
      </w:r>
      <w:r w:rsidR="0057741F">
        <w:rPr>
          <w:rFonts w:cstheme="minorHAnsi"/>
        </w:rPr>
        <w:t xml:space="preserve">(de pommes de terre belges) </w:t>
      </w:r>
      <w:r w:rsidR="00F76CDA">
        <w:rPr>
          <w:rFonts w:cstheme="minorHAnsi"/>
        </w:rPr>
        <w:t>de plus que l’an dernier à la même date.</w:t>
      </w:r>
    </w:p>
    <w:p w14:paraId="13051F7B" w14:textId="6E2A894A" w:rsidR="00BE6048" w:rsidRPr="00A828DC" w:rsidRDefault="0045083B" w:rsidP="00BE6048">
      <w:pPr>
        <w:rPr>
          <w:rFonts w:cstheme="minorHAnsi"/>
        </w:rPr>
      </w:pPr>
      <w:r w:rsidRPr="00F76CDA">
        <w:rPr>
          <w:rFonts w:cstheme="minorHAnsi"/>
          <w:u w:val="single"/>
        </w:rPr>
        <w:t xml:space="preserve">Répartition </w:t>
      </w:r>
      <w:r w:rsidR="00970679" w:rsidRPr="00F76CDA">
        <w:rPr>
          <w:rFonts w:cstheme="minorHAnsi"/>
          <w:u w:val="single"/>
        </w:rPr>
        <w:t>variétale</w:t>
      </w:r>
      <w:r w:rsidRPr="00F76CDA">
        <w:rPr>
          <w:rFonts w:cstheme="minorHAnsi"/>
          <w:u w:val="single"/>
        </w:rPr>
        <w:t> :</w:t>
      </w:r>
      <w:r w:rsidRPr="00F76CDA">
        <w:rPr>
          <w:rFonts w:cstheme="minorHAnsi"/>
        </w:rPr>
        <w:t xml:space="preserve"> </w:t>
      </w:r>
      <w:r w:rsidR="00F76CDA" w:rsidRPr="00F76CDA">
        <w:rPr>
          <w:rFonts w:cstheme="minorHAnsi"/>
        </w:rPr>
        <w:t>près de 70</w:t>
      </w:r>
      <w:r w:rsidR="00BE6048" w:rsidRPr="00F76CDA">
        <w:rPr>
          <w:rFonts w:cstheme="minorHAnsi"/>
        </w:rPr>
        <w:t xml:space="preserve"> % </w:t>
      </w:r>
      <w:r w:rsidR="00971BA5" w:rsidRPr="00F76CDA">
        <w:rPr>
          <w:rFonts w:cstheme="minorHAnsi"/>
        </w:rPr>
        <w:t xml:space="preserve">des stocks sont </w:t>
      </w:r>
      <w:r w:rsidR="00BE6048" w:rsidRPr="00F76CDA">
        <w:rPr>
          <w:rFonts w:cstheme="minorHAnsi"/>
        </w:rPr>
        <w:t xml:space="preserve">en Fontane, </w:t>
      </w:r>
      <w:r w:rsidR="00FB40CB" w:rsidRPr="00F76CDA">
        <w:rPr>
          <w:rFonts w:cstheme="minorHAnsi"/>
        </w:rPr>
        <w:t xml:space="preserve">de 2 à </w:t>
      </w:r>
      <w:r w:rsidR="00F76CDA" w:rsidRPr="00F76CDA">
        <w:rPr>
          <w:rFonts w:cstheme="minorHAnsi"/>
        </w:rPr>
        <w:t>3</w:t>
      </w:r>
      <w:r w:rsidR="00FB40CB" w:rsidRPr="00F76CDA">
        <w:rPr>
          <w:rFonts w:cstheme="minorHAnsi"/>
        </w:rPr>
        <w:t xml:space="preserve"> </w:t>
      </w:r>
      <w:r w:rsidR="00BE6048" w:rsidRPr="00F76CDA">
        <w:rPr>
          <w:rFonts w:cstheme="minorHAnsi"/>
        </w:rPr>
        <w:t xml:space="preserve">% dans chacune des 3 autres variétés majeures (Bintje, Challenger et Innovator), et de l’ordre de </w:t>
      </w:r>
      <w:r w:rsidR="00F76CDA" w:rsidRPr="00F76CDA">
        <w:rPr>
          <w:rFonts w:cstheme="minorHAnsi"/>
        </w:rPr>
        <w:t>25</w:t>
      </w:r>
      <w:r w:rsidR="00BE6048" w:rsidRPr="00F76CDA">
        <w:rPr>
          <w:rFonts w:cstheme="minorHAnsi"/>
        </w:rPr>
        <w:t xml:space="preserve"> % pour </w:t>
      </w:r>
      <w:r w:rsidR="00A828DC" w:rsidRPr="00F76CDA">
        <w:rPr>
          <w:rFonts w:cstheme="minorHAnsi"/>
        </w:rPr>
        <w:t>les</w:t>
      </w:r>
      <w:r w:rsidR="00BE6048" w:rsidRPr="00F76CDA">
        <w:rPr>
          <w:rFonts w:cstheme="minorHAnsi"/>
        </w:rPr>
        <w:t xml:space="preserve"> autres variétés.</w:t>
      </w:r>
      <w:r w:rsidR="00BE6048" w:rsidRPr="00A828DC">
        <w:rPr>
          <w:rFonts w:cstheme="minorHAnsi"/>
        </w:rPr>
        <w:t xml:space="preserve"> </w:t>
      </w:r>
    </w:p>
    <w:p w14:paraId="320EFC5E" w14:textId="4549BC85" w:rsidR="00BE6048" w:rsidRPr="00D81CB4" w:rsidRDefault="00BE6048" w:rsidP="002E56A3">
      <w:pPr>
        <w:pStyle w:val="Lgende"/>
        <w:ind w:left="1276" w:hanging="1276"/>
      </w:pPr>
      <w:r w:rsidRPr="00D81CB4">
        <w:rPr>
          <w:u w:val="single"/>
        </w:rPr>
        <w:t>Graphique 1 :</w:t>
      </w:r>
      <w:r w:rsidRPr="00D81CB4">
        <w:t xml:space="preserve"> </w:t>
      </w:r>
      <w:bookmarkStart w:id="1" w:name="_Hlk70515626"/>
      <w:r w:rsidRPr="00994237">
        <w:t>Stock total au 1</w:t>
      </w:r>
      <w:r w:rsidRPr="002A3029">
        <w:rPr>
          <w:vertAlign w:val="superscript"/>
        </w:rPr>
        <w:t>er</w:t>
      </w:r>
      <w:r w:rsidRPr="00994237">
        <w:t xml:space="preserve"> </w:t>
      </w:r>
      <w:r w:rsidR="002E56A3">
        <w:t>avril</w:t>
      </w:r>
      <w:r w:rsidRPr="00994237">
        <w:t xml:space="preserve"> 202</w:t>
      </w:r>
      <w:r w:rsidR="00E93E84">
        <w:t>4</w:t>
      </w:r>
      <w:r w:rsidRPr="00994237">
        <w:t xml:space="preserve"> – Fontane, Challenger, Bintje, Innovator et autres variétés (en </w:t>
      </w:r>
      <w:r w:rsidR="00646BAD">
        <w:t>1.000 tonnes</w:t>
      </w:r>
      <w:r w:rsidRPr="00994237">
        <w:t>)</w:t>
      </w:r>
      <w:bookmarkEnd w:id="1"/>
    </w:p>
    <w:p w14:paraId="52F35E27" w14:textId="306FFB2B" w:rsidR="00BE6048" w:rsidRPr="007671A9" w:rsidRDefault="00E93E84" w:rsidP="00BE6048">
      <w:pPr>
        <w:jc w:val="center"/>
        <w:rPr>
          <w:b/>
          <w:sz w:val="16"/>
          <w:szCs w:val="16"/>
          <w:highlight w:val="red"/>
          <w:u w:val="single"/>
        </w:rPr>
      </w:pPr>
      <w:r w:rsidRPr="00E93E84">
        <w:rPr>
          <w:noProof/>
        </w:rPr>
        <w:drawing>
          <wp:inline distT="0" distB="0" distL="0" distR="0" wp14:anchorId="44DEA4D4" wp14:editId="354BED03">
            <wp:extent cx="5981301" cy="3270250"/>
            <wp:effectExtent l="0" t="0" r="635" b="6350"/>
            <wp:docPr id="1213690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8391" cy="3285061"/>
                    </a:xfrm>
                    <a:prstGeom prst="rect">
                      <a:avLst/>
                    </a:prstGeom>
                    <a:noFill/>
                    <a:ln>
                      <a:noFill/>
                    </a:ln>
                  </pic:spPr>
                </pic:pic>
              </a:graphicData>
            </a:graphic>
          </wp:inline>
        </w:drawing>
      </w:r>
    </w:p>
    <w:p w14:paraId="4D2B7B14" w14:textId="6F8238E5" w:rsidR="00FC2593" w:rsidRPr="0057741F" w:rsidRDefault="00FC2593" w:rsidP="00A16EC2">
      <w:pPr>
        <w:pStyle w:val="Lgende"/>
        <w:rPr>
          <w:sz w:val="16"/>
          <w:u w:val="single"/>
        </w:rPr>
      </w:pPr>
    </w:p>
    <w:p w14:paraId="3160BD83" w14:textId="409D1D10" w:rsidR="00A16EC2" w:rsidRDefault="00A16EC2" w:rsidP="00A16EC2">
      <w:pPr>
        <w:pStyle w:val="Lgende"/>
      </w:pPr>
      <w:r w:rsidRPr="00D81CB4">
        <w:rPr>
          <w:u w:val="single"/>
        </w:rPr>
        <w:t>Graphiques 2 à 6 :</w:t>
      </w:r>
      <w:r w:rsidRPr="00D81CB4">
        <w:t xml:space="preserve"> </w:t>
      </w:r>
      <w:r w:rsidRPr="00994237">
        <w:t xml:space="preserve">Evolution des stocks en Belgique pour Fontane, </w:t>
      </w:r>
      <w:r w:rsidR="00EB04C3" w:rsidRPr="00994237">
        <w:t xml:space="preserve">Challenger, </w:t>
      </w:r>
      <w:r w:rsidRPr="00994237">
        <w:t>Innovator</w:t>
      </w:r>
      <w:r w:rsidR="00EB04C3">
        <w:t>, Bintje</w:t>
      </w:r>
      <w:r w:rsidRPr="00994237">
        <w:t xml:space="preserve"> et autres - années de production 201</w:t>
      </w:r>
      <w:r w:rsidR="000C56F7">
        <w:t>5</w:t>
      </w:r>
      <w:r w:rsidRPr="00994237">
        <w:t xml:space="preserve"> à 202</w:t>
      </w:r>
      <w:r w:rsidR="00E93E84">
        <w:t>3</w:t>
      </w:r>
      <w:r w:rsidRPr="00994237">
        <w:t xml:space="preserve"> – production initiale, stock novembre, stock février, stock avril, surfaces annuelles (ha – source</w:t>
      </w:r>
      <w:r w:rsidR="0034395B">
        <w:t xml:space="preserve"> </w:t>
      </w:r>
      <w:r w:rsidRPr="00994237">
        <w:t>: déclarations régionales PAC) et prix moyen FIWAP/PCA du marché libre sur la saison (partielle en 202</w:t>
      </w:r>
      <w:r w:rsidR="00E93E84">
        <w:t>3</w:t>
      </w:r>
      <w:r w:rsidRPr="00994237">
        <w:t>) :</w:t>
      </w:r>
    </w:p>
    <w:p w14:paraId="5C11C934" w14:textId="77777777" w:rsidR="00A16EC2" w:rsidRDefault="00A16EC2" w:rsidP="00E85570">
      <w:pPr>
        <w:rPr>
          <w:b/>
          <w:highlight w:val="red"/>
          <w:u w:val="single"/>
        </w:rPr>
        <w:sectPr w:rsidR="00A16EC2" w:rsidSect="00A6037C">
          <w:footerReference w:type="first" r:id="rId15"/>
          <w:type w:val="continuous"/>
          <w:pgSz w:w="11906" w:h="16838" w:code="9"/>
          <w:pgMar w:top="851" w:right="851" w:bottom="993" w:left="851" w:header="720" w:footer="0" w:gutter="0"/>
          <w:cols w:space="708"/>
          <w:titlePg/>
          <w:docGrid w:linePitch="360"/>
        </w:sectPr>
      </w:pPr>
    </w:p>
    <w:p w14:paraId="22DFC78E" w14:textId="71CDA98A" w:rsidR="006C6680" w:rsidRPr="0034395B" w:rsidRDefault="00E93E84" w:rsidP="006C6680">
      <w:pPr>
        <w:pStyle w:val="Titre3"/>
      </w:pPr>
      <w:r w:rsidRPr="00E93E84">
        <w:rPr>
          <w:noProof/>
        </w:rPr>
        <w:drawing>
          <wp:anchor distT="0" distB="0" distL="114300" distR="114300" simplePos="0" relativeHeight="251665408" behindDoc="0" locked="0" layoutInCell="1" allowOverlap="1" wp14:anchorId="2825A10D" wp14:editId="475B4542">
            <wp:simplePos x="0" y="0"/>
            <wp:positionH relativeFrom="column">
              <wp:posOffset>2128520</wp:posOffset>
            </wp:positionH>
            <wp:positionV relativeFrom="paragraph">
              <wp:posOffset>109855</wp:posOffset>
            </wp:positionV>
            <wp:extent cx="4385945" cy="2876550"/>
            <wp:effectExtent l="0" t="0" r="0" b="0"/>
            <wp:wrapSquare wrapText="bothSides"/>
            <wp:docPr id="10998786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5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680" w:rsidRPr="0034395B">
        <w:t xml:space="preserve">Fontane : </w:t>
      </w:r>
    </w:p>
    <w:p w14:paraId="7DF75ABD" w14:textId="6296A257" w:rsidR="006C6680" w:rsidRPr="00F76CDA" w:rsidRDefault="006C6680" w:rsidP="006C6680">
      <w:r w:rsidRPr="00F76CDA">
        <w:t>Les stocks belges de Fontane sont estimés à 1,</w:t>
      </w:r>
      <w:r w:rsidR="00F76CDA" w:rsidRPr="00F76CDA">
        <w:t>25</w:t>
      </w:r>
      <w:r w:rsidRPr="00F76CDA">
        <w:t xml:space="preserve"> Mt au début avril</w:t>
      </w:r>
      <w:r w:rsidR="0034395B" w:rsidRPr="00F76CDA">
        <w:t xml:space="preserve">, </w:t>
      </w:r>
      <w:r w:rsidR="00F76CDA" w:rsidRPr="00F76CDA">
        <w:t xml:space="preserve">valeur </w:t>
      </w:r>
      <w:r w:rsidR="004413AD">
        <w:t xml:space="preserve">historique </w:t>
      </w:r>
      <w:r w:rsidR="00F76CDA" w:rsidRPr="00F76CDA">
        <w:t>la plus élevée (on était entre 1,00 et 1,18 Mt ces 3 dernières saisons).</w:t>
      </w:r>
    </w:p>
    <w:p w14:paraId="458E8969" w14:textId="391B5A69" w:rsidR="006C6680" w:rsidRPr="0078109A" w:rsidRDefault="00F76CDA" w:rsidP="006C6680">
      <w:r w:rsidRPr="00F76CDA">
        <w:t>610</w:t>
      </w:r>
      <w:r w:rsidR="006C6680" w:rsidRPr="00F76CDA">
        <w:t>.000 t ont été bougées sur les 2 derniers mois</w:t>
      </w:r>
      <w:r w:rsidRPr="00F76CDA">
        <w:t>, c’est plus que les récentes années</w:t>
      </w:r>
      <w:r w:rsidR="0034395B" w:rsidRPr="00F76CDA">
        <w:t xml:space="preserve"> (</w:t>
      </w:r>
      <w:r w:rsidRPr="00F76CDA">
        <w:t>moyenne triennale de 520.000 t).</w:t>
      </w:r>
      <w:r>
        <w:t xml:space="preserve"> Environ 30 %</w:t>
      </w:r>
      <w:r w:rsidRPr="00F76CDA">
        <w:t xml:space="preserve"> </w:t>
      </w:r>
      <w:r w:rsidR="006C6680" w:rsidRPr="00F76CDA">
        <w:t xml:space="preserve">de ce déstockage a </w:t>
      </w:r>
      <w:r>
        <w:t>eu lieu sur le marché libre</w:t>
      </w:r>
      <w:r w:rsidR="006C6680" w:rsidRPr="00F76CDA">
        <w:t xml:space="preserve">. </w:t>
      </w:r>
      <w:r w:rsidR="006C6680" w:rsidRPr="0078109A">
        <w:t>Le stock actuel se répartit ainsi pour</w:t>
      </w:r>
      <w:r w:rsidR="0034395B" w:rsidRPr="0078109A">
        <w:t xml:space="preserve"> </w:t>
      </w:r>
      <w:r w:rsidR="0078109A" w:rsidRPr="0078109A">
        <w:t>73</w:t>
      </w:r>
      <w:r w:rsidR="0034395B" w:rsidRPr="0078109A">
        <w:t xml:space="preserve"> %</w:t>
      </w:r>
      <w:r w:rsidR="006C6680" w:rsidRPr="0078109A">
        <w:t xml:space="preserve"> en </w:t>
      </w:r>
      <w:r w:rsidR="006C6680" w:rsidRPr="0078109A">
        <w:lastRenderedPageBreak/>
        <w:t>volume déjà vendu</w:t>
      </w:r>
      <w:r w:rsidR="00E93E84" w:rsidRPr="0078109A">
        <w:rPr>
          <w:noProof/>
        </w:rPr>
        <w:drawing>
          <wp:anchor distT="0" distB="0" distL="114300" distR="114300" simplePos="0" relativeHeight="251666432" behindDoc="0" locked="0" layoutInCell="1" allowOverlap="1" wp14:anchorId="311F46B4" wp14:editId="64DC1861">
            <wp:simplePos x="0" y="0"/>
            <wp:positionH relativeFrom="column">
              <wp:posOffset>2212340</wp:posOffset>
            </wp:positionH>
            <wp:positionV relativeFrom="page">
              <wp:posOffset>698500</wp:posOffset>
            </wp:positionV>
            <wp:extent cx="4178300" cy="2741295"/>
            <wp:effectExtent l="0" t="0" r="0" b="1905"/>
            <wp:wrapSquare wrapText="bothSides"/>
            <wp:docPr id="200442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8300" cy="274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9A" w:rsidRPr="0078109A">
        <w:t xml:space="preserve">, soit </w:t>
      </w:r>
      <w:r w:rsidR="00FC2593" w:rsidRPr="0078109A">
        <w:t>91</w:t>
      </w:r>
      <w:r w:rsidR="006C6680" w:rsidRPr="0078109A">
        <w:t>0.000 t</w:t>
      </w:r>
      <w:r w:rsidR="0078109A" w:rsidRPr="0078109A">
        <w:t xml:space="preserve"> (identique à l’an passé)</w:t>
      </w:r>
      <w:r w:rsidR="006C6680" w:rsidRPr="0078109A">
        <w:t xml:space="preserve">, et </w:t>
      </w:r>
      <w:r w:rsidR="00FC2593" w:rsidRPr="0078109A">
        <w:t>2</w:t>
      </w:r>
      <w:r w:rsidR="0078109A" w:rsidRPr="0078109A">
        <w:t>7</w:t>
      </w:r>
      <w:r w:rsidR="00FC2593" w:rsidRPr="0078109A">
        <w:t xml:space="preserve"> %</w:t>
      </w:r>
      <w:r w:rsidR="006C6680" w:rsidRPr="0078109A">
        <w:t xml:space="preserve"> encore à vendre (</w:t>
      </w:r>
      <w:r w:rsidR="0078109A" w:rsidRPr="0078109A">
        <w:t>soit 340.000 t contre 190.000 t l’an dernier et 270.000 t en avril 2022</w:t>
      </w:r>
      <w:r w:rsidR="00580963">
        <w:t>)</w:t>
      </w:r>
      <w:r w:rsidR="0078109A" w:rsidRPr="0078109A">
        <w:t xml:space="preserve">. </w:t>
      </w:r>
    </w:p>
    <w:p w14:paraId="6EAF79B4" w14:textId="2607A3C3" w:rsidR="00FE50F4" w:rsidRPr="0078109A" w:rsidRDefault="00E85570" w:rsidP="00FE50F4">
      <w:pPr>
        <w:pStyle w:val="Titre3"/>
      </w:pPr>
      <w:r w:rsidRPr="0078109A">
        <w:t>Challenger :</w:t>
      </w:r>
      <w:r w:rsidR="00FE50F4" w:rsidRPr="0078109A">
        <w:t xml:space="preserve"> </w:t>
      </w:r>
    </w:p>
    <w:p w14:paraId="5B822485" w14:textId="0BA860CC" w:rsidR="00FE50F4" w:rsidRPr="00E93E84" w:rsidRDefault="00E93E84" w:rsidP="00232635">
      <w:pPr>
        <w:rPr>
          <w:sz w:val="23"/>
          <w:szCs w:val="23"/>
          <w:highlight w:val="red"/>
        </w:rPr>
        <w:sectPr w:rsidR="00FE50F4" w:rsidRPr="00E93E84" w:rsidSect="00A6037C">
          <w:type w:val="continuous"/>
          <w:pgSz w:w="11906" w:h="16838" w:code="9"/>
          <w:pgMar w:top="851" w:right="851" w:bottom="993" w:left="851" w:header="720" w:footer="0" w:gutter="0"/>
          <w:cols w:num="2" w:space="113" w:equalWidth="0">
            <w:col w:w="3402" w:space="113"/>
            <w:col w:w="6689"/>
          </w:cols>
          <w:titlePg/>
          <w:docGrid w:linePitch="360"/>
        </w:sectPr>
      </w:pPr>
      <w:r w:rsidRPr="0078109A">
        <w:rPr>
          <w:noProof/>
        </w:rPr>
        <w:drawing>
          <wp:anchor distT="0" distB="0" distL="114300" distR="114300" simplePos="0" relativeHeight="251667456" behindDoc="0" locked="0" layoutInCell="1" allowOverlap="1" wp14:anchorId="7A1E8C0A" wp14:editId="2F6E6899">
            <wp:simplePos x="0" y="0"/>
            <wp:positionH relativeFrom="column">
              <wp:posOffset>2215515</wp:posOffset>
            </wp:positionH>
            <wp:positionV relativeFrom="paragraph">
              <wp:posOffset>1445895</wp:posOffset>
            </wp:positionV>
            <wp:extent cx="4178300" cy="2736215"/>
            <wp:effectExtent l="0" t="0" r="0" b="6985"/>
            <wp:wrapSquare wrapText="bothSides"/>
            <wp:docPr id="17829560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300" cy="273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712" w:rsidRPr="0078109A">
        <w:rPr>
          <w:bCs/>
        </w:rPr>
        <w:t>En ligne avec la diminution des surfaces et de la production, les stocks estimés</w:t>
      </w:r>
      <w:r w:rsidR="00701E9E" w:rsidRPr="0078109A">
        <w:rPr>
          <w:bCs/>
        </w:rPr>
        <w:t xml:space="preserve"> de Challenger </w:t>
      </w:r>
      <w:r w:rsidR="006A4712" w:rsidRPr="0078109A">
        <w:rPr>
          <w:bCs/>
        </w:rPr>
        <w:t xml:space="preserve">début avril sont en baisse continue depuis 4 ans : </w:t>
      </w:r>
      <w:r w:rsidR="0078109A" w:rsidRPr="0078109A">
        <w:rPr>
          <w:bCs/>
        </w:rPr>
        <w:t xml:space="preserve">30.000 t cette année, </w:t>
      </w:r>
      <w:r w:rsidR="006A4712" w:rsidRPr="0078109A">
        <w:rPr>
          <w:bCs/>
        </w:rPr>
        <w:t xml:space="preserve">70.000 t </w:t>
      </w:r>
      <w:r w:rsidR="0078109A" w:rsidRPr="0078109A">
        <w:rPr>
          <w:bCs/>
        </w:rPr>
        <w:t>l’an dernier</w:t>
      </w:r>
      <w:r w:rsidR="006A4712" w:rsidRPr="0078109A">
        <w:rPr>
          <w:bCs/>
        </w:rPr>
        <w:t xml:space="preserve">, 80.000 t </w:t>
      </w:r>
      <w:r w:rsidR="0078109A" w:rsidRPr="0078109A">
        <w:rPr>
          <w:bCs/>
        </w:rPr>
        <w:t>début avril 2022</w:t>
      </w:r>
      <w:r w:rsidR="006A4712" w:rsidRPr="0078109A">
        <w:rPr>
          <w:bCs/>
        </w:rPr>
        <w:t xml:space="preserve">, </w:t>
      </w:r>
      <w:r w:rsidR="0078109A" w:rsidRPr="0078109A">
        <w:rPr>
          <w:bCs/>
        </w:rPr>
        <w:t>90.000</w:t>
      </w:r>
      <w:r w:rsidR="006A4712" w:rsidRPr="0078109A">
        <w:rPr>
          <w:bCs/>
        </w:rPr>
        <w:t xml:space="preserve"> t début avril 202</w:t>
      </w:r>
      <w:r w:rsidR="0078109A" w:rsidRPr="0078109A">
        <w:rPr>
          <w:bCs/>
        </w:rPr>
        <w:t>1</w:t>
      </w:r>
      <w:r w:rsidR="006A4712" w:rsidRPr="0078109A">
        <w:rPr>
          <w:bCs/>
        </w:rPr>
        <w:t>…</w:t>
      </w:r>
      <w:r w:rsidR="00995C7E" w:rsidRPr="0078109A">
        <w:rPr>
          <w:bCs/>
        </w:rPr>
        <w:t xml:space="preserve"> La moyenne des 3 dernières années s’élève à </w:t>
      </w:r>
      <w:r w:rsidR="0078109A" w:rsidRPr="0078109A">
        <w:rPr>
          <w:bCs/>
        </w:rPr>
        <w:t>8</w:t>
      </w:r>
      <w:r w:rsidR="00995C7E" w:rsidRPr="0078109A">
        <w:rPr>
          <w:bCs/>
        </w:rPr>
        <w:t xml:space="preserve">0.000 t. Parmi le stock actuel, </w:t>
      </w:r>
      <w:r w:rsidR="0078109A" w:rsidRPr="0078109A">
        <w:rPr>
          <w:bCs/>
        </w:rPr>
        <w:t>2</w:t>
      </w:r>
      <w:r w:rsidR="00995C7E" w:rsidRPr="0078109A">
        <w:rPr>
          <w:bCs/>
        </w:rPr>
        <w:t>0.000 t sont encore libre</w:t>
      </w:r>
      <w:r w:rsidR="006A4712" w:rsidRPr="0078109A">
        <w:rPr>
          <w:bCs/>
        </w:rPr>
        <w:t>s (</w:t>
      </w:r>
      <w:r w:rsidR="0078109A" w:rsidRPr="0078109A">
        <w:rPr>
          <w:bCs/>
        </w:rPr>
        <w:t>contre 30.000 t l</w:t>
      </w:r>
      <w:r w:rsidR="006A4712" w:rsidRPr="0078109A">
        <w:rPr>
          <w:bCs/>
        </w:rPr>
        <w:t xml:space="preserve">’an passé) </w:t>
      </w:r>
      <w:r w:rsidR="00995C7E" w:rsidRPr="0078109A">
        <w:rPr>
          <w:bCs/>
        </w:rPr>
        <w:t xml:space="preserve">et </w:t>
      </w:r>
      <w:r w:rsidR="0078109A" w:rsidRPr="0078109A">
        <w:rPr>
          <w:bCs/>
        </w:rPr>
        <w:t>1</w:t>
      </w:r>
      <w:r w:rsidR="00995C7E" w:rsidRPr="0078109A">
        <w:rPr>
          <w:bCs/>
        </w:rPr>
        <w:t xml:space="preserve">0.000 t déjà </w:t>
      </w:r>
      <w:r w:rsidR="00580963">
        <w:rPr>
          <w:bCs/>
        </w:rPr>
        <w:t>vendues</w:t>
      </w:r>
      <w:r w:rsidR="00995C7E" w:rsidRPr="0078109A">
        <w:rPr>
          <w:bCs/>
        </w:rPr>
        <w:t xml:space="preserve">. Les marchés ont dégagé </w:t>
      </w:r>
      <w:r w:rsidR="0078109A" w:rsidRPr="0078109A">
        <w:rPr>
          <w:bCs/>
        </w:rPr>
        <w:t>5</w:t>
      </w:r>
      <w:r w:rsidR="00995C7E" w:rsidRPr="0078109A">
        <w:rPr>
          <w:bCs/>
        </w:rPr>
        <w:t>0.000 t ces 2 derniers mois</w:t>
      </w:r>
      <w:r w:rsidR="006A4712" w:rsidRPr="0078109A">
        <w:rPr>
          <w:bCs/>
        </w:rPr>
        <w:t xml:space="preserve"> (</w:t>
      </w:r>
      <w:r w:rsidR="0078109A" w:rsidRPr="0078109A">
        <w:rPr>
          <w:bCs/>
        </w:rPr>
        <w:t>8</w:t>
      </w:r>
      <w:r w:rsidR="00995C7E" w:rsidRPr="0078109A">
        <w:rPr>
          <w:bCs/>
        </w:rPr>
        <w:t xml:space="preserve">0.000 t </w:t>
      </w:r>
      <w:r w:rsidR="006A4712" w:rsidRPr="0078109A">
        <w:rPr>
          <w:bCs/>
        </w:rPr>
        <w:t>de moyenne ces 3 dernières saisons).</w:t>
      </w:r>
      <w:r w:rsidR="007037CB" w:rsidRPr="00E93E84">
        <w:rPr>
          <w:sz w:val="23"/>
          <w:szCs w:val="23"/>
          <w:highlight w:val="red"/>
        </w:rPr>
        <w:br w:type="column"/>
      </w:r>
    </w:p>
    <w:p w14:paraId="07A18D10" w14:textId="5A9DA264" w:rsidR="002E6B68" w:rsidRPr="008E4BB1" w:rsidRDefault="00E85570" w:rsidP="00B91E1B">
      <w:pPr>
        <w:pStyle w:val="Titre3"/>
      </w:pPr>
      <w:r w:rsidRPr="008E4BB1">
        <w:t xml:space="preserve">Innovator : </w:t>
      </w:r>
    </w:p>
    <w:p w14:paraId="5E51C6C0" w14:textId="4B02623F" w:rsidR="002E6B68" w:rsidRPr="008E4BB1" w:rsidRDefault="00502822" w:rsidP="00E85570">
      <w:pPr>
        <w:rPr>
          <w:bCs/>
        </w:rPr>
        <w:sectPr w:rsidR="002E6B68" w:rsidRPr="008E4BB1" w:rsidSect="00A6037C">
          <w:type w:val="continuous"/>
          <w:pgSz w:w="11906" w:h="16838" w:code="9"/>
          <w:pgMar w:top="851" w:right="851" w:bottom="993" w:left="851" w:header="720" w:footer="0" w:gutter="0"/>
          <w:cols w:num="2" w:space="113" w:equalWidth="0">
            <w:col w:w="3402" w:space="113"/>
            <w:col w:w="6689"/>
          </w:cols>
          <w:titlePg/>
          <w:docGrid w:linePitch="360"/>
        </w:sectPr>
      </w:pPr>
      <w:r w:rsidRPr="008E4BB1">
        <w:rPr>
          <w:noProof/>
        </w:rPr>
        <w:drawing>
          <wp:anchor distT="0" distB="0" distL="114300" distR="114300" simplePos="0" relativeHeight="251668480" behindDoc="0" locked="0" layoutInCell="1" allowOverlap="1" wp14:anchorId="50203EEE" wp14:editId="7344BB69">
            <wp:simplePos x="0" y="0"/>
            <wp:positionH relativeFrom="column">
              <wp:posOffset>2205990</wp:posOffset>
            </wp:positionH>
            <wp:positionV relativeFrom="page">
              <wp:posOffset>6330315</wp:posOffset>
            </wp:positionV>
            <wp:extent cx="4237990" cy="2774950"/>
            <wp:effectExtent l="0" t="0" r="0" b="6350"/>
            <wp:wrapSquare wrapText="bothSides"/>
            <wp:docPr id="14711827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799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9A" w:rsidRPr="008E4BB1">
        <w:rPr>
          <w:bCs/>
        </w:rPr>
        <w:t xml:space="preserve">Avec 30.000 t estimées, les stocks début avril étaient très faibles et semblables à l’an dernier. </w:t>
      </w:r>
      <w:r w:rsidR="008E4BB1" w:rsidRPr="008E4BB1">
        <w:rPr>
          <w:bCs/>
        </w:rPr>
        <w:t>La majeure partie est contracté</w:t>
      </w:r>
      <w:r w:rsidR="00580963">
        <w:rPr>
          <w:bCs/>
        </w:rPr>
        <w:t>e</w:t>
      </w:r>
      <w:r w:rsidR="008E4BB1" w:rsidRPr="008E4BB1">
        <w:rPr>
          <w:bCs/>
        </w:rPr>
        <w:t xml:space="preserve"> (de l’ordre de 60 %)</w:t>
      </w:r>
      <w:r w:rsidR="00337BA8" w:rsidRPr="008E4BB1">
        <w:rPr>
          <w:bCs/>
        </w:rPr>
        <w:t xml:space="preserve">. </w:t>
      </w:r>
      <w:r w:rsidR="000F5D4C" w:rsidRPr="008E4BB1">
        <w:rPr>
          <w:bCs/>
        </w:rPr>
        <w:t>La production initiale (</w:t>
      </w:r>
      <w:r w:rsidR="008E4BB1" w:rsidRPr="008E4BB1">
        <w:rPr>
          <w:bCs/>
        </w:rPr>
        <w:t>30</w:t>
      </w:r>
      <w:r w:rsidR="000F5D4C" w:rsidRPr="008E4BB1">
        <w:rPr>
          <w:bCs/>
        </w:rPr>
        <w:t>0.000 t) était</w:t>
      </w:r>
      <w:r w:rsidR="00337BA8" w:rsidRPr="008E4BB1">
        <w:rPr>
          <w:bCs/>
        </w:rPr>
        <w:t xml:space="preserve"> </w:t>
      </w:r>
      <w:r w:rsidR="008E4BB1" w:rsidRPr="008E4BB1">
        <w:rPr>
          <w:bCs/>
        </w:rPr>
        <w:t>comparable à l’an dernier, mais bien inférieure à la moyenne triennale (340.000 t).</w:t>
      </w:r>
      <w:r w:rsidR="00B57F6A" w:rsidRPr="008E4BB1">
        <w:rPr>
          <w:bCs/>
        </w:rPr>
        <w:t xml:space="preserve"> Février et mars </w:t>
      </w:r>
      <w:r w:rsidR="008E4BB1" w:rsidRPr="008E4BB1">
        <w:rPr>
          <w:bCs/>
        </w:rPr>
        <w:t>auraient</w:t>
      </w:r>
      <w:r w:rsidR="00B57F6A" w:rsidRPr="008E4BB1">
        <w:rPr>
          <w:bCs/>
        </w:rPr>
        <w:t xml:space="preserve"> dégagé </w:t>
      </w:r>
      <w:r w:rsidR="008E4BB1" w:rsidRPr="008E4BB1">
        <w:rPr>
          <w:bCs/>
        </w:rPr>
        <w:t>seulement 3</w:t>
      </w:r>
      <w:r w:rsidR="00337BA8" w:rsidRPr="008E4BB1">
        <w:rPr>
          <w:bCs/>
        </w:rPr>
        <w:t>0.</w:t>
      </w:r>
      <w:r w:rsidR="00B57F6A" w:rsidRPr="008E4BB1">
        <w:rPr>
          <w:bCs/>
        </w:rPr>
        <w:t xml:space="preserve">000 t, soit </w:t>
      </w:r>
      <w:r w:rsidR="008E4BB1" w:rsidRPr="008E4BB1">
        <w:rPr>
          <w:bCs/>
        </w:rPr>
        <w:t xml:space="preserve">bien moins que les 3 saisons récentes (60.000 à 110.000 t). </w:t>
      </w:r>
    </w:p>
    <w:p w14:paraId="2D552435" w14:textId="4824E8C3" w:rsidR="006C6680" w:rsidRPr="008E4BB1" w:rsidRDefault="006C6680" w:rsidP="006C6680">
      <w:pPr>
        <w:pStyle w:val="Titre3"/>
      </w:pPr>
      <w:r w:rsidRPr="008E4BB1">
        <w:t>Bintje :</w:t>
      </w:r>
    </w:p>
    <w:p w14:paraId="28800C18" w14:textId="7F4CC003" w:rsidR="00CB3860" w:rsidRPr="008E4BB1" w:rsidRDefault="006C6680" w:rsidP="006C6680">
      <w:pPr>
        <w:rPr>
          <w:rFonts w:cstheme="minorHAnsi"/>
        </w:rPr>
        <w:sectPr w:rsidR="00CB3860" w:rsidRPr="008E4BB1" w:rsidSect="00A6037C">
          <w:type w:val="continuous"/>
          <w:pgSz w:w="11906" w:h="16838" w:code="9"/>
          <w:pgMar w:top="851" w:right="851" w:bottom="993" w:left="851" w:header="720" w:footer="0" w:gutter="0"/>
          <w:cols w:space="113"/>
          <w:titlePg/>
          <w:docGrid w:linePitch="360"/>
        </w:sectPr>
      </w:pPr>
      <w:r w:rsidRPr="008E4BB1">
        <w:rPr>
          <w:rFonts w:cstheme="minorHAnsi"/>
        </w:rPr>
        <w:t xml:space="preserve">Vu le faible nombre de producteurs de Bintje dans l’enquête on sera prudent avec les chiffres. Début avril les stocks sont estimés à </w:t>
      </w:r>
      <w:r w:rsidR="008E4BB1" w:rsidRPr="008E4BB1">
        <w:rPr>
          <w:rFonts w:cstheme="minorHAnsi"/>
        </w:rPr>
        <w:t>5</w:t>
      </w:r>
      <w:r w:rsidRPr="008E4BB1">
        <w:rPr>
          <w:rFonts w:cstheme="minorHAnsi"/>
        </w:rPr>
        <w:t>0.000 t</w:t>
      </w:r>
      <w:r w:rsidR="008E4BB1" w:rsidRPr="008E4BB1">
        <w:rPr>
          <w:rFonts w:cstheme="minorHAnsi"/>
        </w:rPr>
        <w:t>, semblable</w:t>
      </w:r>
      <w:r w:rsidR="00646BAD">
        <w:rPr>
          <w:rFonts w:cstheme="minorHAnsi"/>
        </w:rPr>
        <w:t>s</w:t>
      </w:r>
      <w:r w:rsidR="008E4BB1" w:rsidRPr="008E4BB1">
        <w:rPr>
          <w:rFonts w:cstheme="minorHAnsi"/>
        </w:rPr>
        <w:t xml:space="preserve"> à l’an dernier (40.000 t), mais</w:t>
      </w:r>
      <w:r w:rsidR="00337BA8" w:rsidRPr="008E4BB1">
        <w:rPr>
          <w:rFonts w:cstheme="minorHAnsi"/>
        </w:rPr>
        <w:t xml:space="preserve"> moin</w:t>
      </w:r>
      <w:r w:rsidR="00646BAD">
        <w:rPr>
          <w:rFonts w:cstheme="minorHAnsi"/>
        </w:rPr>
        <w:t>dre</w:t>
      </w:r>
      <w:r w:rsidR="00337BA8" w:rsidRPr="008E4BB1">
        <w:rPr>
          <w:rFonts w:cstheme="minorHAnsi"/>
        </w:rPr>
        <w:t>s que les 100.000 t des 3 années</w:t>
      </w:r>
      <w:r w:rsidR="008E4BB1" w:rsidRPr="008E4BB1">
        <w:rPr>
          <w:rFonts w:cstheme="minorHAnsi"/>
        </w:rPr>
        <w:t xml:space="preserve"> précédentes</w:t>
      </w:r>
      <w:r w:rsidR="00337BA8" w:rsidRPr="008E4BB1">
        <w:rPr>
          <w:rFonts w:cstheme="minorHAnsi"/>
        </w:rPr>
        <w:t>.</w:t>
      </w:r>
      <w:r w:rsidRPr="008E4BB1">
        <w:rPr>
          <w:rFonts w:cstheme="minorHAnsi"/>
        </w:rPr>
        <w:t xml:space="preserve"> </w:t>
      </w:r>
      <w:r w:rsidR="008E4BB1" w:rsidRPr="008E4BB1">
        <w:rPr>
          <w:rFonts w:cstheme="minorHAnsi"/>
        </w:rPr>
        <w:t>6</w:t>
      </w:r>
      <w:r w:rsidR="00337BA8" w:rsidRPr="008E4BB1">
        <w:rPr>
          <w:rFonts w:cstheme="minorHAnsi"/>
        </w:rPr>
        <w:t xml:space="preserve">0 % de ces stocks étaient déjà vendus, de sorte qu’il ne restait </w:t>
      </w:r>
      <w:r w:rsidR="008E4BB1" w:rsidRPr="008E4BB1">
        <w:rPr>
          <w:rFonts w:cstheme="minorHAnsi"/>
        </w:rPr>
        <w:t>que de l’ordre de 20.000 t</w:t>
      </w:r>
      <w:r w:rsidR="00337BA8" w:rsidRPr="008E4BB1">
        <w:rPr>
          <w:rFonts w:cstheme="minorHAnsi"/>
        </w:rPr>
        <w:t xml:space="preserve"> de Bintje libres à trouver. </w:t>
      </w:r>
      <w:r w:rsidRPr="008E4BB1">
        <w:rPr>
          <w:rFonts w:cstheme="minorHAnsi"/>
        </w:rPr>
        <w:t xml:space="preserve">Les mois de février et mars auraient dégagé </w:t>
      </w:r>
      <w:r w:rsidR="00337BA8" w:rsidRPr="008E4BB1">
        <w:rPr>
          <w:rFonts w:cstheme="minorHAnsi"/>
        </w:rPr>
        <w:t>4</w:t>
      </w:r>
      <w:r w:rsidRPr="008E4BB1">
        <w:rPr>
          <w:rFonts w:cstheme="minorHAnsi"/>
        </w:rPr>
        <w:t>0.000 t</w:t>
      </w:r>
      <w:r w:rsidR="008E4BB1" w:rsidRPr="008E4BB1">
        <w:rPr>
          <w:rFonts w:cstheme="minorHAnsi"/>
        </w:rPr>
        <w:t xml:space="preserve"> (idem l’an dernier) </w:t>
      </w:r>
      <w:r w:rsidR="00337BA8" w:rsidRPr="008E4BB1">
        <w:rPr>
          <w:rFonts w:cstheme="minorHAnsi"/>
        </w:rPr>
        <w:t xml:space="preserve">essentiellement vers l’épluchage qui est devenu le marché de niche de Bintje. </w:t>
      </w:r>
    </w:p>
    <w:p w14:paraId="004312B4" w14:textId="35573499" w:rsidR="002E6B68" w:rsidRPr="008E4BB1" w:rsidRDefault="008E4BB1" w:rsidP="002E6B68">
      <w:pPr>
        <w:pStyle w:val="Titre3"/>
      </w:pPr>
      <w:r w:rsidRPr="008E4BB1">
        <w:rPr>
          <w:noProof/>
        </w:rPr>
        <w:lastRenderedPageBreak/>
        <w:drawing>
          <wp:anchor distT="0" distB="0" distL="114300" distR="114300" simplePos="0" relativeHeight="251669504" behindDoc="0" locked="0" layoutInCell="1" allowOverlap="1" wp14:anchorId="5C31D58E" wp14:editId="34075610">
            <wp:simplePos x="0" y="0"/>
            <wp:positionH relativeFrom="column">
              <wp:posOffset>2294890</wp:posOffset>
            </wp:positionH>
            <wp:positionV relativeFrom="page">
              <wp:posOffset>1152525</wp:posOffset>
            </wp:positionV>
            <wp:extent cx="4235450" cy="2774950"/>
            <wp:effectExtent l="0" t="0" r="0" b="6350"/>
            <wp:wrapSquare wrapText="bothSides"/>
            <wp:docPr id="132094588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545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B68" w:rsidRPr="008E4BB1">
        <w:t>Autres variétés de conservation :</w:t>
      </w:r>
    </w:p>
    <w:p w14:paraId="7BAF164F" w14:textId="77777777" w:rsidR="0032380D" w:rsidRPr="00E93E84" w:rsidRDefault="0032380D" w:rsidP="00E85570">
      <w:pPr>
        <w:rPr>
          <w:highlight w:val="red"/>
        </w:rPr>
        <w:sectPr w:rsidR="0032380D" w:rsidRPr="00E93E84" w:rsidSect="00A6037C">
          <w:type w:val="continuous"/>
          <w:pgSz w:w="11906" w:h="16838" w:code="9"/>
          <w:pgMar w:top="851" w:right="851" w:bottom="993" w:left="851" w:header="720" w:footer="0" w:gutter="0"/>
          <w:cols w:space="113"/>
          <w:titlePg/>
          <w:docGrid w:linePitch="360"/>
        </w:sectPr>
      </w:pPr>
    </w:p>
    <w:p w14:paraId="228884CC" w14:textId="6CAF05AD" w:rsidR="00A16EC2" w:rsidRPr="00E93E84" w:rsidRDefault="00B91E1B" w:rsidP="0032380D">
      <w:pPr>
        <w:rPr>
          <w:highlight w:val="red"/>
          <w:lang w:val="fr-FR"/>
        </w:rPr>
        <w:sectPr w:rsidR="00A16EC2" w:rsidRPr="00E93E84" w:rsidSect="00A6037C">
          <w:type w:val="continuous"/>
          <w:pgSz w:w="11906" w:h="16838" w:code="9"/>
          <w:pgMar w:top="851" w:right="851" w:bottom="993" w:left="851" w:header="720" w:footer="0" w:gutter="0"/>
          <w:cols w:num="2" w:space="113" w:equalWidth="0">
            <w:col w:w="3402" w:space="113"/>
            <w:col w:w="6689"/>
          </w:cols>
          <w:titlePg/>
          <w:docGrid w:linePitch="360"/>
        </w:sectPr>
      </w:pPr>
      <w:r w:rsidRPr="008E4BB1">
        <w:t>I</w:t>
      </w:r>
      <w:r w:rsidR="00E85570" w:rsidRPr="008E4BB1">
        <w:t>l s’agit principalement de Markies</w:t>
      </w:r>
      <w:r w:rsidR="00375A54" w:rsidRPr="008E4BB1">
        <w:t xml:space="preserve"> (largement dominante)</w:t>
      </w:r>
      <w:r w:rsidR="00E85570" w:rsidRPr="008E4BB1">
        <w:t xml:space="preserve">, </w:t>
      </w:r>
      <w:r w:rsidR="00B72919" w:rsidRPr="008E4BB1">
        <w:t>Agria,</w:t>
      </w:r>
      <w:r w:rsidR="00E85570" w:rsidRPr="008E4BB1">
        <w:t xml:space="preserve"> </w:t>
      </w:r>
      <w:r w:rsidR="008E4BB1" w:rsidRPr="008E4BB1">
        <w:t>Alegria</w:t>
      </w:r>
      <w:r w:rsidR="00E85570" w:rsidRPr="008E4BB1">
        <w:t>…</w:t>
      </w:r>
      <w:r w:rsidR="00AD22E5">
        <w:t xml:space="preserve">, </w:t>
      </w:r>
      <w:r w:rsidR="00B72919" w:rsidRPr="008E4BB1">
        <w:t>ainsi que les variétés pour le marché du frais (Nicola, Annabelle,</w:t>
      </w:r>
      <w:r w:rsidR="00E27E36" w:rsidRPr="008E4BB1">
        <w:t xml:space="preserve"> Jazzy, Charlotte</w:t>
      </w:r>
      <w:r w:rsidR="00B72919" w:rsidRPr="008E4BB1">
        <w:t>…)</w:t>
      </w:r>
      <w:r w:rsidR="008E4BB1" w:rsidRPr="008E4BB1">
        <w:t xml:space="preserve"> et pour la fabrication de chips.</w:t>
      </w:r>
      <w:r w:rsidR="00AD22E5">
        <w:t xml:space="preserve"> </w:t>
      </w:r>
      <w:r w:rsidRPr="00AD22E5">
        <w:t xml:space="preserve">Début avril elles étaient encore présentes à raison de </w:t>
      </w:r>
      <w:r w:rsidR="00E27E36" w:rsidRPr="00AD22E5">
        <w:t>4</w:t>
      </w:r>
      <w:r w:rsidR="008E4BB1" w:rsidRPr="00AD22E5">
        <w:t>6</w:t>
      </w:r>
      <w:r w:rsidRPr="00AD22E5">
        <w:t>0.000 t dans les stocks belges</w:t>
      </w:r>
      <w:r w:rsidR="00E27E36" w:rsidRPr="00AD22E5">
        <w:t xml:space="preserve">, </w:t>
      </w:r>
      <w:r w:rsidR="00AD22E5" w:rsidRPr="00AD22E5">
        <w:t>un chiffre assez semblable à l’an dernier (480.000 t), et supérieur à la moyenne triennale (390.000 t). Seulement 8</w:t>
      </w:r>
      <w:r w:rsidR="00B72919" w:rsidRPr="00AD22E5">
        <w:t>0 % de ce stock est déjà vendu</w:t>
      </w:r>
      <w:r w:rsidR="009A5367" w:rsidRPr="00AD22E5">
        <w:t xml:space="preserve">, de sorte qu’il </w:t>
      </w:r>
      <w:r w:rsidR="00AD22E5" w:rsidRPr="00AD22E5">
        <w:t>restait de l’ordre de 9</w:t>
      </w:r>
      <w:r w:rsidR="00E27E36" w:rsidRPr="00AD22E5">
        <w:t>0</w:t>
      </w:r>
      <w:r w:rsidR="009A5367" w:rsidRPr="00AD22E5">
        <w:t xml:space="preserve">.000 </w:t>
      </w:r>
      <w:r w:rsidR="00AD22E5" w:rsidRPr="00AD22E5">
        <w:t>t</w:t>
      </w:r>
      <w:r w:rsidR="009A5367" w:rsidRPr="00AD22E5">
        <w:t xml:space="preserve"> à vendre</w:t>
      </w:r>
      <w:r w:rsidR="00AD22E5" w:rsidRPr="00AD22E5">
        <w:t xml:space="preserve">, soit bien plus que ces 3 dernières années (30.000 à 40.000 </w:t>
      </w:r>
      <w:r w:rsidR="002061C9">
        <w:t>t</w:t>
      </w:r>
      <w:r w:rsidR="00AD22E5" w:rsidRPr="00AD22E5">
        <w:t>)</w:t>
      </w:r>
      <w:r w:rsidR="009A5367" w:rsidRPr="00AD22E5">
        <w:t xml:space="preserve">. Les 2 derniers mois ont dégagé </w:t>
      </w:r>
      <w:r w:rsidR="00E27E36" w:rsidRPr="00AD22E5">
        <w:t>9</w:t>
      </w:r>
      <w:r w:rsidR="009A5367" w:rsidRPr="00AD22E5">
        <w:t xml:space="preserve">0.000 t, semblable à la moyenne </w:t>
      </w:r>
      <w:r w:rsidR="00375A54" w:rsidRPr="00AD22E5">
        <w:t>triennale</w:t>
      </w:r>
      <w:r w:rsidR="009A5367" w:rsidRPr="00AD22E5">
        <w:t>.</w:t>
      </w:r>
      <w:r w:rsidR="00E01F7F" w:rsidRPr="00AD22E5">
        <w:t xml:space="preserve"> </w:t>
      </w:r>
      <w:r w:rsidR="002E6B68" w:rsidRPr="00E93E84">
        <w:rPr>
          <w:highlight w:val="red"/>
        </w:rPr>
        <w:br w:type="column"/>
      </w:r>
    </w:p>
    <w:p w14:paraId="5D2005D6" w14:textId="7ADBC3C8" w:rsidR="00970679" w:rsidRPr="00AD22E5" w:rsidRDefault="00580963" w:rsidP="00C374BF">
      <w:pPr>
        <w:pStyle w:val="Titre3"/>
        <w:rPr>
          <w:lang w:val="fr-FR"/>
        </w:rPr>
      </w:pPr>
      <w:r>
        <w:rPr>
          <w:lang w:val="fr-FR"/>
        </w:rPr>
        <w:t>Des stocks libres plus élevés</w:t>
      </w:r>
    </w:p>
    <w:p w14:paraId="66688F9A" w14:textId="03548B3B" w:rsidR="00970679" w:rsidRDefault="00970679" w:rsidP="00970679">
      <w:pPr>
        <w:rPr>
          <w:rFonts w:cstheme="minorHAnsi"/>
        </w:rPr>
      </w:pPr>
      <w:r w:rsidRPr="00580963">
        <w:rPr>
          <w:rFonts w:cstheme="minorHAnsi"/>
          <w:u w:val="single"/>
        </w:rPr>
        <w:t>Contrats vs libre :</w:t>
      </w:r>
      <w:r w:rsidRPr="00580963">
        <w:rPr>
          <w:rFonts w:cstheme="minorHAnsi"/>
        </w:rPr>
        <w:t xml:space="preserve"> </w:t>
      </w:r>
      <w:r w:rsidR="003C7199" w:rsidRPr="00580963">
        <w:rPr>
          <w:rFonts w:cstheme="minorHAnsi"/>
        </w:rPr>
        <w:t>t</w:t>
      </w:r>
      <w:r w:rsidR="009A5367" w:rsidRPr="00580963">
        <w:rPr>
          <w:rFonts w:cstheme="minorHAnsi"/>
        </w:rPr>
        <w:t>outes variétés confondues, p</w:t>
      </w:r>
      <w:r w:rsidRPr="00580963">
        <w:rPr>
          <w:rFonts w:cstheme="minorHAnsi"/>
        </w:rPr>
        <w:t xml:space="preserve">armi les stocks actuels, on relève </w:t>
      </w:r>
      <w:r w:rsidR="00AD22E5" w:rsidRPr="00580963">
        <w:rPr>
          <w:rFonts w:cstheme="minorHAnsi"/>
        </w:rPr>
        <w:t>48</w:t>
      </w:r>
      <w:r w:rsidR="00426850" w:rsidRPr="00580963">
        <w:rPr>
          <w:rFonts w:cstheme="minorHAnsi"/>
        </w:rPr>
        <w:t>0</w:t>
      </w:r>
      <w:r w:rsidRPr="00580963">
        <w:rPr>
          <w:rFonts w:cstheme="minorHAnsi"/>
        </w:rPr>
        <w:t xml:space="preserve">.000 tonnes libres, </w:t>
      </w:r>
      <w:r w:rsidR="009A5367" w:rsidRPr="00580963">
        <w:rPr>
          <w:rFonts w:cstheme="minorHAnsi"/>
        </w:rPr>
        <w:t xml:space="preserve">soit </w:t>
      </w:r>
      <w:r w:rsidR="00AD22E5" w:rsidRPr="00580963">
        <w:rPr>
          <w:rFonts w:cstheme="minorHAnsi"/>
        </w:rPr>
        <w:t>plus</w:t>
      </w:r>
      <w:r w:rsidR="00A15826" w:rsidRPr="00580963">
        <w:rPr>
          <w:rFonts w:cstheme="minorHAnsi"/>
        </w:rPr>
        <w:t xml:space="preserve"> de 2</w:t>
      </w:r>
      <w:r w:rsidR="00AD22E5" w:rsidRPr="00580963">
        <w:rPr>
          <w:rFonts w:cstheme="minorHAnsi"/>
        </w:rPr>
        <w:t>5</w:t>
      </w:r>
      <w:r w:rsidR="00A15826" w:rsidRPr="00580963">
        <w:rPr>
          <w:rFonts w:cstheme="minorHAnsi"/>
        </w:rPr>
        <w:t xml:space="preserve"> % du stock global</w:t>
      </w:r>
      <w:r w:rsidR="00AD22E5" w:rsidRPr="00580963">
        <w:rPr>
          <w:rFonts w:cstheme="minorHAnsi"/>
        </w:rPr>
        <w:t xml:space="preserve"> ; c’est près de 200.000 t de plus que l’an dernier ! </w:t>
      </w:r>
      <w:r w:rsidR="002E7C85" w:rsidRPr="00580963">
        <w:rPr>
          <w:rFonts w:cstheme="minorHAnsi"/>
        </w:rPr>
        <w:t>Les rendements moyens meilleurs que l’an dernier (46,5 t/ha au lieu de 43,2 t/ha) expliquent principalement cette différence. A la base, malgré la très forte hausse des prix sous contrat (+ 35 % !) pour la récolte 2023 les acheteurs n’ont décroché « que » 230.000 t de contrats en plus que sur la récolte 2022. Dans les stocks actuels, l</w:t>
      </w:r>
      <w:r w:rsidRPr="00580963">
        <w:rPr>
          <w:rFonts w:cstheme="minorHAnsi"/>
        </w:rPr>
        <w:t xml:space="preserve">es volumes contractés </w:t>
      </w:r>
      <w:r w:rsidR="00A15826" w:rsidRPr="00580963">
        <w:rPr>
          <w:rFonts w:cstheme="minorHAnsi"/>
        </w:rPr>
        <w:t>occupent 1,</w:t>
      </w:r>
      <w:r w:rsidR="002E7C85" w:rsidRPr="00580963">
        <w:rPr>
          <w:rFonts w:cstheme="minorHAnsi"/>
        </w:rPr>
        <w:t>3</w:t>
      </w:r>
      <w:r w:rsidR="00426850" w:rsidRPr="00580963">
        <w:rPr>
          <w:rFonts w:cstheme="minorHAnsi"/>
        </w:rPr>
        <w:t>4</w:t>
      </w:r>
      <w:r w:rsidR="00A15826" w:rsidRPr="00580963">
        <w:rPr>
          <w:rFonts w:cstheme="minorHAnsi"/>
        </w:rPr>
        <w:t xml:space="preserve"> Mt</w:t>
      </w:r>
      <w:r w:rsidR="00580963" w:rsidRPr="00580963">
        <w:rPr>
          <w:rFonts w:cstheme="minorHAnsi"/>
        </w:rPr>
        <w:t> : ils sont plus faibles que l’an dernier (1,44 Mt) et comparables à la moyenne triennale (1,33 Mt).</w:t>
      </w:r>
    </w:p>
    <w:p w14:paraId="1E65064F" w14:textId="77777777" w:rsidR="00CA4ED0" w:rsidRPr="00CA4ED0" w:rsidRDefault="00CA4ED0" w:rsidP="00970679">
      <w:pPr>
        <w:rPr>
          <w:sz w:val="16"/>
          <w:szCs w:val="16"/>
          <w:lang w:val="fr-FR"/>
        </w:rPr>
      </w:pPr>
    </w:p>
    <w:p w14:paraId="7808A44E" w14:textId="054E6DBD" w:rsidR="00970679" w:rsidRDefault="00970679" w:rsidP="00970679">
      <w:pPr>
        <w:pStyle w:val="Lgende"/>
      </w:pPr>
      <w:r w:rsidRPr="009E5DFE">
        <w:rPr>
          <w:u w:val="single"/>
        </w:rPr>
        <w:t xml:space="preserve">Graphique </w:t>
      </w:r>
      <w:r>
        <w:rPr>
          <w:u w:val="single"/>
        </w:rPr>
        <w:t>7</w:t>
      </w:r>
      <w:r w:rsidRPr="009E5DFE">
        <w:rPr>
          <w:u w:val="single"/>
        </w:rPr>
        <w:t> :</w:t>
      </w:r>
      <w:r w:rsidRPr="009E5DFE">
        <w:t xml:space="preserve"> Proportion volumes contractés et volumes libres des stocks au 1</w:t>
      </w:r>
      <w:r w:rsidRPr="009E5DFE">
        <w:rPr>
          <w:vertAlign w:val="superscript"/>
        </w:rPr>
        <w:t>er</w:t>
      </w:r>
      <w:r w:rsidRPr="009E5DFE">
        <w:t xml:space="preserve"> avril</w:t>
      </w:r>
      <w:r w:rsidR="00C62694">
        <w:t xml:space="preserve"> pour les productions 2010 à 2</w:t>
      </w:r>
      <w:r w:rsidR="00580963">
        <w:t>02</w:t>
      </w:r>
      <w:r w:rsidR="00433FB4">
        <w:t>3</w:t>
      </w:r>
    </w:p>
    <w:p w14:paraId="4DEB7257" w14:textId="21C3EECF" w:rsidR="00BA0BC5" w:rsidRPr="00BA0BC5" w:rsidRDefault="00CA4ED0" w:rsidP="00BA0BC5">
      <w:r w:rsidRPr="00CA4ED0">
        <w:rPr>
          <w:noProof/>
        </w:rPr>
        <w:drawing>
          <wp:inline distT="0" distB="0" distL="0" distR="0" wp14:anchorId="67F6FB79" wp14:editId="2D817508">
            <wp:extent cx="6463980" cy="3438525"/>
            <wp:effectExtent l="0" t="0" r="0" b="0"/>
            <wp:docPr id="2092142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5897" cy="3439545"/>
                    </a:xfrm>
                    <a:prstGeom prst="rect">
                      <a:avLst/>
                    </a:prstGeom>
                    <a:noFill/>
                    <a:ln>
                      <a:noFill/>
                    </a:ln>
                  </pic:spPr>
                </pic:pic>
              </a:graphicData>
            </a:graphic>
          </wp:inline>
        </w:drawing>
      </w:r>
    </w:p>
    <w:p w14:paraId="2021FFE8" w14:textId="749DF680" w:rsidR="00E85570" w:rsidRPr="00580963" w:rsidRDefault="00437DF5" w:rsidP="00C374BF">
      <w:pPr>
        <w:pStyle w:val="Titre3"/>
        <w:rPr>
          <w:lang w:val="fr-FR"/>
        </w:rPr>
      </w:pPr>
      <w:r>
        <w:lastRenderedPageBreak/>
        <w:t>D</w:t>
      </w:r>
      <w:r w:rsidR="00B236FB" w:rsidRPr="00580963">
        <w:t>égagement</w:t>
      </w:r>
      <w:r w:rsidR="00C374BF" w:rsidRPr="00580963">
        <w:t xml:space="preserve"> </w:t>
      </w:r>
      <w:r w:rsidR="00D96FEF">
        <w:t>régulier</w:t>
      </w:r>
      <w:r>
        <w:t xml:space="preserve"> </w:t>
      </w:r>
      <w:r w:rsidR="00C374BF" w:rsidRPr="00580963">
        <w:t>en février- mars</w:t>
      </w:r>
      <w:r w:rsidR="00E85570" w:rsidRPr="00580963">
        <w:t> :</w:t>
      </w:r>
    </w:p>
    <w:p w14:paraId="0883996A" w14:textId="77777777" w:rsidR="00E5590C" w:rsidRDefault="00C374BF" w:rsidP="0045083B">
      <w:pPr>
        <w:rPr>
          <w:szCs w:val="22"/>
        </w:rPr>
      </w:pPr>
      <w:r w:rsidRPr="00437DF5">
        <w:rPr>
          <w:szCs w:val="22"/>
        </w:rPr>
        <w:t xml:space="preserve">Toutes variétés confondues, les mois de février et mars </w:t>
      </w:r>
      <w:r w:rsidR="00437DF5" w:rsidRPr="00437DF5">
        <w:rPr>
          <w:szCs w:val="22"/>
        </w:rPr>
        <w:t>auraie</w:t>
      </w:r>
      <w:r w:rsidRPr="00437DF5">
        <w:rPr>
          <w:szCs w:val="22"/>
        </w:rPr>
        <w:t xml:space="preserve">nt dégagé </w:t>
      </w:r>
      <w:r w:rsidR="00437DF5" w:rsidRPr="00437DF5">
        <w:rPr>
          <w:szCs w:val="22"/>
        </w:rPr>
        <w:t>de l’ordre de</w:t>
      </w:r>
      <w:r w:rsidR="008216F1" w:rsidRPr="00437DF5">
        <w:rPr>
          <w:szCs w:val="22"/>
        </w:rPr>
        <w:t xml:space="preserve"> </w:t>
      </w:r>
      <w:r w:rsidR="00437DF5" w:rsidRPr="00437DF5">
        <w:rPr>
          <w:szCs w:val="22"/>
        </w:rPr>
        <w:t>82</w:t>
      </w:r>
      <w:r w:rsidR="008216F1" w:rsidRPr="00437DF5">
        <w:rPr>
          <w:szCs w:val="22"/>
        </w:rPr>
        <w:t>0</w:t>
      </w:r>
      <w:r w:rsidRPr="00437DF5">
        <w:rPr>
          <w:szCs w:val="22"/>
        </w:rPr>
        <w:t>.000 t des hangars belges</w:t>
      </w:r>
      <w:r w:rsidR="001A177F">
        <w:rPr>
          <w:szCs w:val="22"/>
        </w:rPr>
        <w:t xml:space="preserve"> (soit environ 14.000 t par jour)</w:t>
      </w:r>
      <w:r w:rsidR="00437DF5" w:rsidRPr="00437DF5">
        <w:rPr>
          <w:szCs w:val="22"/>
        </w:rPr>
        <w:t>, soit 110.000 t de plus que l’an dernier.</w:t>
      </w:r>
      <w:r w:rsidR="00437DF5">
        <w:rPr>
          <w:szCs w:val="22"/>
        </w:rPr>
        <w:t xml:space="preserve"> La moyenne triennale est estimée à +/- 830.000 t. </w:t>
      </w:r>
      <w:r w:rsidR="001A177F">
        <w:rPr>
          <w:szCs w:val="22"/>
        </w:rPr>
        <w:t xml:space="preserve">Ces livraisons représentent +/- 70 % de l’approvisionnement des usines belges (estimé à environ 21.000 t quotidiennement), le solde étant issu des productions étrangères (françaises, allemandes, hollandaises…). </w:t>
      </w:r>
    </w:p>
    <w:p w14:paraId="46B3562A" w14:textId="77777777" w:rsidR="00E5590C" w:rsidRDefault="00E5590C" w:rsidP="0045083B">
      <w:pPr>
        <w:rPr>
          <w:szCs w:val="22"/>
        </w:rPr>
      </w:pPr>
      <w:r>
        <w:rPr>
          <w:szCs w:val="22"/>
        </w:rPr>
        <w:t>Comme le montre la figure 7, l</w:t>
      </w:r>
      <w:r w:rsidR="001A177F">
        <w:rPr>
          <w:szCs w:val="22"/>
        </w:rPr>
        <w:t xml:space="preserve">a présente saison montre un dégagement </w:t>
      </w:r>
      <w:r w:rsidR="00167200">
        <w:rPr>
          <w:szCs w:val="22"/>
        </w:rPr>
        <w:t>plus intense que l’an dernier</w:t>
      </w:r>
      <w:r>
        <w:rPr>
          <w:szCs w:val="22"/>
        </w:rPr>
        <w:t xml:space="preserve"> pour chacune des 3 périodes (sortie champ, de mi-novembre à début février, et février – mars), chaque période ayant dégagé de 80.000 à 110.000 t de plus que lors de la saison 2022/2023. Les besoins des usines sont donc bien présents. </w:t>
      </w:r>
    </w:p>
    <w:p w14:paraId="6D596071" w14:textId="68FD7467" w:rsidR="008722C4" w:rsidRPr="00375A54" w:rsidRDefault="008722C4" w:rsidP="0045083B">
      <w:pPr>
        <w:rPr>
          <w:szCs w:val="22"/>
        </w:rPr>
      </w:pPr>
      <w:r w:rsidRPr="00167200">
        <w:rPr>
          <w:szCs w:val="22"/>
        </w:rPr>
        <w:t>L</w:t>
      </w:r>
      <w:r w:rsidR="008216F1" w:rsidRPr="00167200">
        <w:rPr>
          <w:szCs w:val="22"/>
        </w:rPr>
        <w:t>e</w:t>
      </w:r>
      <w:r w:rsidRPr="00167200">
        <w:rPr>
          <w:szCs w:val="22"/>
        </w:rPr>
        <w:t xml:space="preserve"> déstockage en février – mars </w:t>
      </w:r>
      <w:r w:rsidR="002A60EA" w:rsidRPr="00167200">
        <w:rPr>
          <w:szCs w:val="22"/>
        </w:rPr>
        <w:t xml:space="preserve">cette année </w:t>
      </w:r>
      <w:r w:rsidR="006D62E9" w:rsidRPr="00167200">
        <w:rPr>
          <w:szCs w:val="22"/>
        </w:rPr>
        <w:t xml:space="preserve">a concerné </w:t>
      </w:r>
      <w:r w:rsidR="00D70379" w:rsidRPr="00167200">
        <w:rPr>
          <w:szCs w:val="22"/>
        </w:rPr>
        <w:t xml:space="preserve">très majoritairement des </w:t>
      </w:r>
      <w:r w:rsidR="006D62E9" w:rsidRPr="00167200">
        <w:rPr>
          <w:szCs w:val="22"/>
        </w:rPr>
        <w:t xml:space="preserve">volumes </w:t>
      </w:r>
      <w:r w:rsidR="00D70379" w:rsidRPr="00167200">
        <w:rPr>
          <w:szCs w:val="22"/>
        </w:rPr>
        <w:t>sous contrat (</w:t>
      </w:r>
      <w:r w:rsidR="00167200" w:rsidRPr="00167200">
        <w:rPr>
          <w:szCs w:val="22"/>
        </w:rPr>
        <w:t>56</w:t>
      </w:r>
      <w:r w:rsidR="00D70379" w:rsidRPr="00167200">
        <w:rPr>
          <w:szCs w:val="22"/>
        </w:rPr>
        <w:t>0.000 t) aux dépends des volumes libres (seulement 2</w:t>
      </w:r>
      <w:r w:rsidR="00167200" w:rsidRPr="00167200">
        <w:rPr>
          <w:szCs w:val="22"/>
        </w:rPr>
        <w:t>6</w:t>
      </w:r>
      <w:r w:rsidR="00D70379" w:rsidRPr="00167200">
        <w:rPr>
          <w:szCs w:val="22"/>
        </w:rPr>
        <w:t>0.000 t).</w:t>
      </w:r>
      <w:r w:rsidR="006D62E9" w:rsidRPr="00375A54">
        <w:rPr>
          <w:szCs w:val="22"/>
        </w:rPr>
        <w:t xml:space="preserve"> </w:t>
      </w:r>
    </w:p>
    <w:p w14:paraId="08D59EB9" w14:textId="27D20C0C" w:rsidR="0002763F" w:rsidRDefault="0002763F" w:rsidP="0002763F">
      <w:pPr>
        <w:pStyle w:val="Lgende"/>
      </w:pPr>
      <w:r w:rsidRPr="009E5DFE">
        <w:rPr>
          <w:u w:val="single"/>
        </w:rPr>
        <w:t xml:space="preserve">Graphique </w:t>
      </w:r>
      <w:r w:rsidR="00970679">
        <w:rPr>
          <w:u w:val="single"/>
        </w:rPr>
        <w:t>8</w:t>
      </w:r>
      <w:r w:rsidRPr="009E5DFE">
        <w:rPr>
          <w:u w:val="single"/>
        </w:rPr>
        <w:t> :</w:t>
      </w:r>
      <w:r w:rsidRPr="009E5DFE">
        <w:t xml:space="preserve"> Dégagement de la récolte belge de pommes de terre de consommation (hâtives comprises) :</w:t>
      </w:r>
    </w:p>
    <w:p w14:paraId="4024E427" w14:textId="5981575D" w:rsidR="00BA0BC5" w:rsidRPr="00BA0BC5" w:rsidRDefault="00433FB4" w:rsidP="00375A54">
      <w:pPr>
        <w:jc w:val="center"/>
      </w:pPr>
      <w:r w:rsidRPr="00433FB4">
        <w:rPr>
          <w:noProof/>
        </w:rPr>
        <w:drawing>
          <wp:inline distT="0" distB="0" distL="0" distR="0" wp14:anchorId="502529F4" wp14:editId="4849B7D0">
            <wp:extent cx="6479540" cy="4241800"/>
            <wp:effectExtent l="0" t="0" r="0" b="6350"/>
            <wp:docPr id="56434538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4241800"/>
                    </a:xfrm>
                    <a:prstGeom prst="rect">
                      <a:avLst/>
                    </a:prstGeom>
                    <a:noFill/>
                    <a:ln>
                      <a:noFill/>
                    </a:ln>
                  </pic:spPr>
                </pic:pic>
              </a:graphicData>
            </a:graphic>
          </wp:inline>
        </w:drawing>
      </w:r>
    </w:p>
    <w:p w14:paraId="49B7EFE4" w14:textId="7DDB89CA" w:rsidR="0002763F" w:rsidRPr="00C374BF" w:rsidRDefault="0002763F" w:rsidP="0002763F">
      <w:pPr>
        <w:pStyle w:val="Titre3"/>
        <w:rPr>
          <w:lang w:val="fr-FR"/>
        </w:rPr>
      </w:pPr>
      <w:r>
        <w:t>Conclusions</w:t>
      </w:r>
      <w:r w:rsidRPr="008920A7">
        <w:t> :</w:t>
      </w:r>
    </w:p>
    <w:p w14:paraId="49F80FB8" w14:textId="72462D28" w:rsidR="00F75A9F" w:rsidRDefault="00B236FB" w:rsidP="006D1333">
      <w:pPr>
        <w:rPr>
          <w:rFonts w:cstheme="minorHAnsi"/>
          <w:szCs w:val="22"/>
          <w:lang w:val="fr-FR"/>
        </w:rPr>
      </w:pPr>
      <w:r w:rsidRPr="00E5590C">
        <w:rPr>
          <w:rFonts w:cstheme="minorHAnsi"/>
          <w:szCs w:val="22"/>
          <w:lang w:val="fr-FR"/>
        </w:rPr>
        <w:t>Les stocks belges estimés au 1</w:t>
      </w:r>
      <w:r w:rsidRPr="00E5590C">
        <w:rPr>
          <w:rFonts w:cstheme="minorHAnsi"/>
          <w:szCs w:val="22"/>
          <w:vertAlign w:val="superscript"/>
          <w:lang w:val="fr-FR"/>
        </w:rPr>
        <w:t>er</w:t>
      </w:r>
      <w:r w:rsidRPr="00E5590C">
        <w:rPr>
          <w:rFonts w:cstheme="minorHAnsi"/>
          <w:szCs w:val="22"/>
          <w:lang w:val="fr-FR"/>
        </w:rPr>
        <w:t xml:space="preserve"> avril sont </w:t>
      </w:r>
      <w:r w:rsidR="00E5590C" w:rsidRPr="00E5590C">
        <w:rPr>
          <w:rFonts w:cstheme="minorHAnsi"/>
          <w:szCs w:val="22"/>
          <w:lang w:val="fr-FR"/>
        </w:rPr>
        <w:t xml:space="preserve">à peine </w:t>
      </w:r>
      <w:r w:rsidR="00D70379" w:rsidRPr="00E5590C">
        <w:rPr>
          <w:rFonts w:cstheme="minorHAnsi"/>
          <w:szCs w:val="22"/>
          <w:lang w:val="fr-FR"/>
        </w:rPr>
        <w:t>plus</w:t>
      </w:r>
      <w:r w:rsidRPr="00E5590C">
        <w:rPr>
          <w:rFonts w:cstheme="minorHAnsi"/>
          <w:szCs w:val="22"/>
          <w:lang w:val="fr-FR"/>
        </w:rPr>
        <w:t xml:space="preserve"> élevés que </w:t>
      </w:r>
      <w:r w:rsidR="00D70379" w:rsidRPr="00E5590C">
        <w:rPr>
          <w:rFonts w:cstheme="minorHAnsi"/>
          <w:szCs w:val="22"/>
          <w:lang w:val="fr-FR"/>
        </w:rPr>
        <w:t xml:space="preserve">l’an passé </w:t>
      </w:r>
      <w:r w:rsidR="00E5590C" w:rsidRPr="00E5590C">
        <w:rPr>
          <w:rFonts w:cstheme="minorHAnsi"/>
          <w:szCs w:val="22"/>
          <w:lang w:val="fr-FR"/>
        </w:rPr>
        <w:t xml:space="preserve">(90.000 t) alors que la production initiale était en hausse de 490.000 t. </w:t>
      </w:r>
      <w:r w:rsidR="004413AD">
        <w:rPr>
          <w:rFonts w:cstheme="minorHAnsi"/>
          <w:szCs w:val="22"/>
          <w:lang w:val="fr-FR"/>
        </w:rPr>
        <w:t>A ce stade de la saison l</w:t>
      </w:r>
      <w:r w:rsidR="00F75A9F">
        <w:rPr>
          <w:rFonts w:cstheme="minorHAnsi"/>
          <w:szCs w:val="22"/>
          <w:lang w:val="fr-FR"/>
        </w:rPr>
        <w:t xml:space="preserve">es marchés </w:t>
      </w:r>
      <w:r w:rsidR="00502822">
        <w:rPr>
          <w:rFonts w:cstheme="minorHAnsi"/>
          <w:szCs w:val="22"/>
          <w:lang w:val="fr-FR"/>
        </w:rPr>
        <w:t>ont</w:t>
      </w:r>
      <w:r w:rsidR="004413AD">
        <w:rPr>
          <w:rFonts w:cstheme="minorHAnsi"/>
          <w:szCs w:val="22"/>
          <w:lang w:val="fr-FR"/>
        </w:rPr>
        <w:t xml:space="preserve"> </w:t>
      </w:r>
      <w:r w:rsidR="00F75A9F">
        <w:rPr>
          <w:rFonts w:cstheme="minorHAnsi"/>
          <w:szCs w:val="22"/>
          <w:lang w:val="fr-FR"/>
        </w:rPr>
        <w:t xml:space="preserve">donc déjà dégagé 400.000 t de plus que l’an dernier. </w:t>
      </w:r>
    </w:p>
    <w:p w14:paraId="23AD146C" w14:textId="093F52DE" w:rsidR="004413AD" w:rsidRDefault="004413AD" w:rsidP="006D1333">
      <w:pPr>
        <w:rPr>
          <w:rFonts w:cstheme="minorHAnsi"/>
          <w:szCs w:val="22"/>
          <w:lang w:val="fr-FR"/>
        </w:rPr>
      </w:pPr>
      <w:r>
        <w:rPr>
          <w:rFonts w:cstheme="minorHAnsi"/>
          <w:szCs w:val="22"/>
          <w:lang w:val="fr-FR"/>
        </w:rPr>
        <w:t>Fontane reste très dominante puisqu’elle occupe près de 70 % des volumes en stocks. Il reste par contre (très) peu d’Innovator et de Challenger en stock, mai</w:t>
      </w:r>
      <w:r w:rsidR="00502822">
        <w:rPr>
          <w:rFonts w:cstheme="minorHAnsi"/>
          <w:szCs w:val="22"/>
          <w:lang w:val="fr-FR"/>
        </w:rPr>
        <w:t>s</w:t>
      </w:r>
      <w:r>
        <w:rPr>
          <w:rFonts w:cstheme="minorHAnsi"/>
          <w:szCs w:val="22"/>
          <w:lang w:val="fr-FR"/>
        </w:rPr>
        <w:t xml:space="preserve"> plus de Bintje que l’an dernier.</w:t>
      </w:r>
    </w:p>
    <w:p w14:paraId="77CB94CA" w14:textId="6847FCBE" w:rsidR="00E5590C" w:rsidRDefault="004413AD" w:rsidP="006D1333">
      <w:pPr>
        <w:rPr>
          <w:rFonts w:cstheme="minorHAnsi"/>
          <w:szCs w:val="22"/>
          <w:lang w:val="fr-FR"/>
        </w:rPr>
      </w:pPr>
      <w:r>
        <w:rPr>
          <w:rFonts w:cstheme="minorHAnsi"/>
          <w:szCs w:val="22"/>
          <w:lang w:val="fr-FR"/>
        </w:rPr>
        <w:t>Toutes variétés confondues, l</w:t>
      </w:r>
      <w:r w:rsidR="00E5590C">
        <w:rPr>
          <w:rFonts w:cstheme="minorHAnsi"/>
          <w:szCs w:val="22"/>
          <w:lang w:val="fr-FR"/>
        </w:rPr>
        <w:t xml:space="preserve">e volume libre est plus important que </w:t>
      </w:r>
      <w:r w:rsidR="00F75A9F">
        <w:rPr>
          <w:rFonts w:cstheme="minorHAnsi"/>
          <w:szCs w:val="22"/>
          <w:lang w:val="fr-FR"/>
        </w:rPr>
        <w:t>l’année passée</w:t>
      </w:r>
      <w:r w:rsidR="00E5590C">
        <w:rPr>
          <w:rFonts w:cstheme="minorHAnsi"/>
          <w:szCs w:val="22"/>
          <w:lang w:val="fr-FR"/>
        </w:rPr>
        <w:t xml:space="preserve"> (480.000 t contre 290.000 t, soit une différence de 190.000 t), en raison essentiellement des meilleures rendements récoltés</w:t>
      </w:r>
      <w:r w:rsidR="00065399">
        <w:rPr>
          <w:rFonts w:cstheme="minorHAnsi"/>
          <w:szCs w:val="22"/>
          <w:lang w:val="fr-FR"/>
        </w:rPr>
        <w:t xml:space="preserve"> (47,7 t/ha contre 43,3 t/ha en 2022). </w:t>
      </w:r>
      <w:r w:rsidR="00F75A9F">
        <w:rPr>
          <w:rFonts w:cstheme="minorHAnsi"/>
          <w:szCs w:val="22"/>
          <w:lang w:val="fr-FR"/>
        </w:rPr>
        <w:t>Car à la base les volumes contractés en présaison étaient supérieurs sur la récolte 2023 (2,94 Mt toutes variétés confondues vs 2,71 Mt sur la récolte 2022) grâce à la très forte progression des prix proposés par les acheteurs.</w:t>
      </w:r>
    </w:p>
    <w:p w14:paraId="04C70879" w14:textId="71E816EE" w:rsidR="006D1333" w:rsidRDefault="00F75A9F" w:rsidP="006D1333">
      <w:pPr>
        <w:rPr>
          <w:rFonts w:cstheme="minorHAnsi"/>
          <w:szCs w:val="22"/>
          <w:lang w:val="fr-FR"/>
        </w:rPr>
      </w:pPr>
      <w:r>
        <w:rPr>
          <w:rFonts w:cstheme="minorHAnsi"/>
          <w:szCs w:val="22"/>
          <w:lang w:val="fr-FR"/>
        </w:rPr>
        <w:t xml:space="preserve">Les producteurs ont donc a priori plus de cartes en main cette année pour la fin de la saison. Le niveau élevé des prix sur le marché libre </w:t>
      </w:r>
      <w:r w:rsidR="006D1333">
        <w:rPr>
          <w:rFonts w:cstheme="minorHAnsi"/>
          <w:szCs w:val="22"/>
          <w:lang w:val="fr-FR"/>
        </w:rPr>
        <w:t xml:space="preserve">(35,00 €/q début avril) </w:t>
      </w:r>
      <w:r w:rsidR="004413AD">
        <w:rPr>
          <w:rFonts w:cstheme="minorHAnsi"/>
          <w:szCs w:val="22"/>
          <w:lang w:val="fr-FR"/>
        </w:rPr>
        <w:t>et le printemps tardif rend</w:t>
      </w:r>
      <w:r w:rsidR="006D1333">
        <w:rPr>
          <w:rFonts w:cstheme="minorHAnsi"/>
          <w:szCs w:val="22"/>
          <w:lang w:val="fr-FR"/>
        </w:rPr>
        <w:t>ent</w:t>
      </w:r>
      <w:r w:rsidR="004413AD">
        <w:rPr>
          <w:rFonts w:cstheme="minorHAnsi"/>
          <w:szCs w:val="22"/>
          <w:lang w:val="fr-FR"/>
        </w:rPr>
        <w:t xml:space="preserve"> </w:t>
      </w:r>
      <w:r w:rsidR="004413AD">
        <w:rPr>
          <w:rFonts w:cstheme="minorHAnsi"/>
          <w:szCs w:val="22"/>
          <w:lang w:val="fr-FR"/>
        </w:rPr>
        <w:lastRenderedPageBreak/>
        <w:t>l’offre réticente sur le marché libre, ce qui</w:t>
      </w:r>
      <w:r w:rsidR="006D1333">
        <w:rPr>
          <w:rFonts w:cstheme="minorHAnsi"/>
          <w:szCs w:val="22"/>
          <w:lang w:val="fr-FR"/>
        </w:rPr>
        <w:t xml:space="preserve"> amène les acheteurs à enlever les contrats à temps et à heure. Les capacités renforcées des usines pourraient mener les besoins annuels de l’industrie belge à plus de 7 millions de tonnes, soit de l’ordre de 600.000 t par mois. </w:t>
      </w:r>
    </w:p>
    <w:p w14:paraId="68268E57" w14:textId="612EF491" w:rsidR="00F75A9F" w:rsidRPr="00E5590C" w:rsidRDefault="006D1333" w:rsidP="006D1333">
      <w:pPr>
        <w:rPr>
          <w:rFonts w:cstheme="minorHAnsi"/>
          <w:szCs w:val="22"/>
          <w:lang w:val="fr-FR"/>
        </w:rPr>
      </w:pPr>
      <w:r>
        <w:rPr>
          <w:rFonts w:cstheme="minorHAnsi"/>
          <w:szCs w:val="22"/>
          <w:lang w:val="fr-FR"/>
        </w:rPr>
        <w:t xml:space="preserve">Dans ce contexte, et malgré un certain ralentissement des ventes de produits finis à l’échelle mondiale (à confirmer dans les prochaines semaines / mois par les statistiques d’Eurostat), les stocks belges actuels n’apparaissent pas excessifs. D’autant que la production de hâtives </w:t>
      </w:r>
      <w:r w:rsidR="001C62F2">
        <w:rPr>
          <w:rFonts w:cstheme="minorHAnsi"/>
          <w:szCs w:val="22"/>
          <w:lang w:val="fr-FR"/>
        </w:rPr>
        <w:t xml:space="preserve">belges </w:t>
      </w:r>
      <w:r>
        <w:rPr>
          <w:rFonts w:cstheme="minorHAnsi"/>
          <w:szCs w:val="22"/>
          <w:lang w:val="fr-FR"/>
        </w:rPr>
        <w:t xml:space="preserve">est d’ores et déjà retardée </w:t>
      </w:r>
      <w:r w:rsidR="001C62F2">
        <w:rPr>
          <w:rFonts w:cstheme="minorHAnsi"/>
          <w:szCs w:val="22"/>
          <w:lang w:val="fr-FR"/>
        </w:rPr>
        <w:t>suite au report des plantations en raison de la météo défavorable.</w:t>
      </w:r>
    </w:p>
    <w:p w14:paraId="2EC6FF22" w14:textId="24797C15" w:rsidR="00E5590C" w:rsidRPr="001C62F2" w:rsidRDefault="001C62F2" w:rsidP="0045083B">
      <w:pPr>
        <w:rPr>
          <w:rFonts w:cstheme="minorHAnsi"/>
          <w:szCs w:val="22"/>
          <w:lang w:val="fr-FR"/>
        </w:rPr>
      </w:pPr>
      <w:r w:rsidRPr="001C62F2">
        <w:rPr>
          <w:rFonts w:cstheme="minorHAnsi"/>
          <w:szCs w:val="22"/>
          <w:lang w:val="fr-FR"/>
        </w:rPr>
        <w:t>Mais en pomme de terre la vérité d’un jour n’est pas celle du lendemain. Il faut intégrer dans la réflexion les stocks en France (visiblement plus élevés que l’an passé) et aux Pays-Bas (clairement plus faibles)</w:t>
      </w:r>
      <w:r>
        <w:rPr>
          <w:rFonts w:cstheme="minorHAnsi"/>
          <w:szCs w:val="22"/>
          <w:lang w:val="fr-FR"/>
        </w:rPr>
        <w:t xml:space="preserve"> pour appréhender la fin de saison. Si globalement les marchés restent bien orientés, savoir vendre (et si possible régulièrement) lorsque le prix est intéressant est une pratique sage. Le reste est de l’ordre de la spéculation… </w:t>
      </w:r>
    </w:p>
    <w:p w14:paraId="088A46BA" w14:textId="12858BC6" w:rsidR="00E85570" w:rsidRPr="00375A54" w:rsidRDefault="00344BD7" w:rsidP="00BB419C">
      <w:pPr>
        <w:rPr>
          <w:rFonts w:cstheme="minorHAnsi"/>
          <w:szCs w:val="22"/>
        </w:rPr>
      </w:pPr>
      <w:r w:rsidRPr="00580963">
        <w:rPr>
          <w:rFonts w:cstheme="minorHAnsi"/>
          <w:szCs w:val="22"/>
        </w:rPr>
        <w:t xml:space="preserve">Ce message clôture l’enquête stocks pour la présente saison. Merci </w:t>
      </w:r>
      <w:r w:rsidR="009D55D5" w:rsidRPr="00580963">
        <w:rPr>
          <w:rFonts w:cstheme="minorHAnsi"/>
          <w:szCs w:val="22"/>
        </w:rPr>
        <w:t>à</w:t>
      </w:r>
      <w:r w:rsidRPr="00580963">
        <w:rPr>
          <w:rFonts w:cstheme="minorHAnsi"/>
          <w:szCs w:val="22"/>
        </w:rPr>
        <w:t xml:space="preserve"> celles et ceux qui ont accepté une nouvelle fois d’y participer.</w:t>
      </w:r>
    </w:p>
    <w:p w14:paraId="29DD716C" w14:textId="780D9303" w:rsidR="00636695" w:rsidRPr="009D55D5" w:rsidRDefault="001F4D1A" w:rsidP="001F4D1A">
      <w:pPr>
        <w:ind w:left="6379"/>
        <w:rPr>
          <w:szCs w:val="22"/>
        </w:rPr>
      </w:pPr>
      <w:r>
        <w:rPr>
          <w:rFonts w:cstheme="minorHAnsi"/>
          <w:szCs w:val="22"/>
        </w:rPr>
        <w:t>Pierre Lebrun et Dominique Florins.</w:t>
      </w:r>
    </w:p>
    <w:sectPr w:rsidR="00636695" w:rsidRPr="009D55D5" w:rsidSect="00A6037C">
      <w:headerReference w:type="even" r:id="rId23"/>
      <w:headerReference w:type="default" r:id="rId24"/>
      <w:type w:val="continuous"/>
      <w:pgSz w:w="11906" w:h="16838" w:code="9"/>
      <w:pgMar w:top="851" w:right="851" w:bottom="851" w:left="851"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BD12" w14:textId="77777777" w:rsidR="00A6037C" w:rsidRDefault="00A6037C">
      <w:r>
        <w:separator/>
      </w:r>
    </w:p>
  </w:endnote>
  <w:endnote w:type="continuationSeparator" w:id="0">
    <w:p w14:paraId="10AE7365" w14:textId="77777777" w:rsidR="00A6037C" w:rsidRDefault="00A60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044C" w14:textId="51DEDA04" w:rsidR="00C95EDE" w:rsidRPr="00C95EDE" w:rsidRDefault="00C95EDE" w:rsidP="00C95EDE">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85376" behindDoc="0" locked="0" layoutInCell="1" allowOverlap="1" wp14:anchorId="5816CF1E" wp14:editId="17C13F12">
          <wp:simplePos x="0" y="0"/>
          <wp:positionH relativeFrom="column">
            <wp:posOffset>457835</wp:posOffset>
          </wp:positionH>
          <wp:positionV relativeFrom="paragraph">
            <wp:posOffset>-86995</wp:posOffset>
          </wp:positionV>
          <wp:extent cx="641278" cy="327660"/>
          <wp:effectExtent l="0" t="0" r="6985" b="0"/>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Evolution des stocks belges de pommes de terre : Avril 202</w:t>
    </w:r>
    <w:r w:rsidR="00433FB4">
      <w:rPr>
        <w:rFonts w:ascii="Bradley Hand ITC" w:hAnsi="Bradley Hand ITC"/>
        <w:b/>
        <w:color w:val="1A6A2F"/>
        <w:sz w:val="24"/>
        <w:szCs w:val="24"/>
      </w:rPr>
      <w:t>4</w:t>
    </w:r>
  </w:p>
  <w:p w14:paraId="69447E16" w14:textId="77777777" w:rsidR="00212F6D" w:rsidRDefault="00212F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7D7" w14:textId="77777777" w:rsidR="0019207F" w:rsidRPr="0037015D" w:rsidRDefault="0019207F" w:rsidP="0019207F">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Bordia, 4 • 5030 GEMBLOUX</w:t>
    </w:r>
  </w:p>
  <w:p w14:paraId="1D3EE4DC" w14:textId="77777777" w:rsidR="0019207F" w:rsidRPr="0037015D" w:rsidRDefault="0019207F" w:rsidP="0019207F">
    <w:pPr>
      <w:pStyle w:val="Pieddepage"/>
      <w:jc w:val="center"/>
      <w:rPr>
        <w:rFonts w:ascii="Berlin Sans FB" w:hAnsi="Berlin Sans FB" w:cs="Arial"/>
        <w:color w:val="FFFFFF"/>
        <w:sz w:val="24"/>
        <w:szCs w:val="24"/>
      </w:rPr>
    </w:pPr>
    <w:r w:rsidRPr="0037015D">
      <w:rPr>
        <w:rFonts w:ascii="Berlin Sans FB" w:hAnsi="Berlin Sans FB" w:cs="Arial"/>
        <w:color w:val="FFFFFF"/>
        <w:sz w:val="24"/>
        <w:szCs w:val="24"/>
        <w:highlight w:val="darkGreen"/>
      </w:rPr>
      <w:t>Tél. : +32 (0)81 61.06.56 • Fax : +32 (0)81 61.23.89 • info@fiwap.be • www.fiwap.be</w:t>
    </w:r>
  </w:p>
  <w:p w14:paraId="5C715DD6" w14:textId="77777777" w:rsidR="0019207F" w:rsidRDefault="0019207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9E8" w14:textId="651A2758" w:rsidR="00042EBA" w:rsidRPr="00C95EDE" w:rsidRDefault="00042EBA" w:rsidP="00042EBA">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87424" behindDoc="0" locked="0" layoutInCell="1" allowOverlap="1" wp14:anchorId="3D1EDC74" wp14:editId="63FC1971">
          <wp:simplePos x="0" y="0"/>
          <wp:positionH relativeFrom="column">
            <wp:posOffset>457835</wp:posOffset>
          </wp:positionH>
          <wp:positionV relativeFrom="paragraph">
            <wp:posOffset>-86995</wp:posOffset>
          </wp:positionV>
          <wp:extent cx="641278" cy="32766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Evolution des stocks belges de pommes de terre : Avril 202</w:t>
    </w:r>
    <w:r w:rsidR="00433FB4">
      <w:rPr>
        <w:rFonts w:ascii="Bradley Hand ITC" w:hAnsi="Bradley Hand ITC"/>
        <w:b/>
        <w:color w:val="1A6A2F"/>
        <w:sz w:val="24"/>
        <w:szCs w:val="24"/>
      </w:rPr>
      <w:t>4</w:t>
    </w:r>
  </w:p>
  <w:p w14:paraId="756CC128" w14:textId="77777777" w:rsidR="00FE50F4" w:rsidRPr="00FE50F4" w:rsidRDefault="00FE50F4" w:rsidP="00FE50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F9A7D" w14:textId="77777777" w:rsidR="00A6037C" w:rsidRDefault="00A6037C">
      <w:r>
        <w:separator/>
      </w:r>
    </w:p>
  </w:footnote>
  <w:footnote w:type="continuationSeparator" w:id="0">
    <w:p w14:paraId="3D607715" w14:textId="77777777" w:rsidR="00A6037C" w:rsidRDefault="00A6037C">
      <w:r>
        <w:continuationSeparator/>
      </w:r>
    </w:p>
  </w:footnote>
  <w:footnote w:id="1">
    <w:p w14:paraId="03FF93B7" w14:textId="3659F551" w:rsidR="00A40AA4" w:rsidRPr="00A40AA4" w:rsidRDefault="00A40AA4" w:rsidP="00A40AA4">
      <w:pPr>
        <w:pStyle w:val="Notedebasdepage"/>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Développement et de la Vulgarisation</w:t>
      </w:r>
    </w:p>
  </w:footnote>
  <w:footnote w:id="2">
    <w:p w14:paraId="7326CC3D" w14:textId="77777777" w:rsidR="00A40AA4" w:rsidRPr="00592F12" w:rsidRDefault="00A40AA4" w:rsidP="00A40AA4">
      <w:pPr>
        <w:pStyle w:val="Notedebasdepage"/>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3276277D" w14:textId="77777777" w:rsidR="00A40AA4" w:rsidRPr="00592F12" w:rsidRDefault="00A40AA4" w:rsidP="00A40AA4">
      <w:pPr>
        <w:pStyle w:val="Notedebasdepage"/>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79D5AC77" w14:textId="3801AF92" w:rsidR="00A40AA4" w:rsidRDefault="00A40AA4" w:rsidP="00A40AA4">
      <w:pPr>
        <w:pStyle w:val="Notedebasdepage"/>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Inagro</w:t>
      </w:r>
      <w:r w:rsidR="00AD4ACF">
        <w:rPr>
          <w:sz w:val="18"/>
          <w:szCs w:val="18"/>
          <w:lang w:val="nl-NL"/>
        </w:rPr>
        <w:t xml:space="preserve"> </w:t>
      </w:r>
      <w:r>
        <w:rPr>
          <w:sz w:val="18"/>
          <w:szCs w:val="18"/>
          <w:lang w:val="nl-NL"/>
        </w:rPr>
        <w:t>=</w:t>
      </w:r>
      <w:r w:rsidR="00AD4ACF">
        <w:rPr>
          <w:sz w:val="18"/>
          <w:szCs w:val="18"/>
          <w:lang w:val="nl-NL"/>
        </w:rPr>
        <w:t xml:space="preserve"> </w:t>
      </w:r>
      <w:r w:rsidRPr="00592F12">
        <w:rPr>
          <w:sz w:val="18"/>
          <w:szCs w:val="18"/>
          <w:lang w:val="nl-NL"/>
        </w:rPr>
        <w:t>Onderzoek en advies in land-</w:t>
      </w:r>
      <w:r>
        <w:rPr>
          <w:sz w:val="18"/>
          <w:szCs w:val="18"/>
          <w:lang w:val="nl-NL"/>
        </w:rPr>
        <w:t xml:space="preserve"> en tuinbouw</w:t>
      </w:r>
      <w:r w:rsidR="00AD4ACF">
        <w:rPr>
          <w:sz w:val="18"/>
          <w:szCs w:val="18"/>
          <w:lang w:val="nl-NL"/>
        </w:rPr>
        <w:t xml:space="preserve"> </w:t>
      </w:r>
      <w:r w:rsidRPr="00592F12">
        <w:rPr>
          <w:sz w:val="18"/>
          <w:szCs w:val="18"/>
          <w:lang w:val="nl-NL"/>
        </w:rPr>
        <w:t>–</w:t>
      </w:r>
      <w:r w:rsidR="00AD4ACF">
        <w:rPr>
          <w:sz w:val="18"/>
          <w:szCs w:val="18"/>
          <w:lang w:val="nl-NL"/>
        </w:rPr>
        <w:t xml:space="preserve"> </w:t>
      </w:r>
      <w:r w:rsidRPr="00592F12">
        <w:rPr>
          <w:sz w:val="18"/>
          <w:szCs w:val="18"/>
          <w:lang w:val="nl-NL"/>
        </w:rPr>
        <w:t>Beitem;</w:t>
      </w:r>
      <w:r>
        <w:rPr>
          <w:sz w:val="18"/>
          <w:szCs w:val="18"/>
          <w:lang w:val="nl-NL"/>
        </w:rPr>
        <w:t xml:space="preserve"> </w:t>
      </w:r>
      <w:r w:rsidR="00AD4ACF">
        <w:rPr>
          <w:sz w:val="18"/>
          <w:szCs w:val="18"/>
          <w:lang w:val="nl-NL"/>
        </w:rPr>
        <w:t xml:space="preserve">Viaverda </w:t>
      </w:r>
      <w:r w:rsidRPr="00592F12">
        <w:rPr>
          <w:sz w:val="18"/>
          <w:szCs w:val="18"/>
          <w:lang w:val="nl-NL"/>
        </w:rPr>
        <w:t>=</w:t>
      </w:r>
      <w:r w:rsidR="00AD4ACF">
        <w:rPr>
          <w:sz w:val="18"/>
          <w:szCs w:val="18"/>
          <w:lang w:val="nl-NL"/>
        </w:rPr>
        <w:t xml:space="preserve"> ex-PCA - </w:t>
      </w:r>
      <w:r w:rsidRPr="00592F12">
        <w:rPr>
          <w:sz w:val="18"/>
          <w:szCs w:val="18"/>
          <w:lang w:val="nl-NL"/>
        </w:rPr>
        <w:t>Interprovinciaal Proe</w:t>
      </w:r>
      <w:r>
        <w:rPr>
          <w:sz w:val="18"/>
          <w:szCs w:val="18"/>
          <w:lang w:val="nl-NL"/>
        </w:rPr>
        <w:t>fcentrum voor de Aardappelteelt</w:t>
      </w:r>
      <w:r w:rsidR="00AD4ACF">
        <w:rPr>
          <w:sz w:val="18"/>
          <w:szCs w:val="18"/>
          <w:lang w:val="nl-NL"/>
        </w:rPr>
        <w:t xml:space="preserve"> </w:t>
      </w:r>
      <w:r>
        <w:rPr>
          <w:sz w:val="18"/>
          <w:szCs w:val="18"/>
          <w:lang w:val="nl-NL"/>
        </w:rPr>
        <w:t>–</w:t>
      </w:r>
      <w:r w:rsidR="00AD4ACF">
        <w:rPr>
          <w:sz w:val="18"/>
          <w:szCs w:val="18"/>
          <w:lang w:val="nl-NL"/>
        </w:rPr>
        <w:t xml:space="preserve"> </w:t>
      </w:r>
      <w:r w:rsidRPr="00592F12">
        <w:rPr>
          <w:sz w:val="18"/>
          <w:szCs w:val="18"/>
          <w:lang w:val="nl-NL"/>
        </w:rPr>
        <w:t>Kruishoutem</w:t>
      </w:r>
      <w:r w:rsidR="00AD4ACF">
        <w:rPr>
          <w:sz w:val="18"/>
          <w:szCs w:val="18"/>
          <w:lang w:val="nl-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DA9C" w14:textId="77777777" w:rsidR="00E80AEE" w:rsidRDefault="00E80AEE">
    <w:pPr>
      <w:pStyle w:val="En-tte"/>
      <w:ind w:right="360"/>
    </w:pPr>
    <w:r>
      <w:rPr>
        <w:noProof/>
      </w:rPr>
      <mc:AlternateContent>
        <mc:Choice Requires="wps">
          <w:drawing>
            <wp:anchor distT="0" distB="0" distL="114300" distR="114300" simplePos="0" relativeHeight="251678208" behindDoc="0" locked="0" layoutInCell="0" allowOverlap="1" wp14:anchorId="23A4D021" wp14:editId="04D13A90">
              <wp:simplePos x="0" y="0"/>
              <wp:positionH relativeFrom="page">
                <wp:posOffset>0</wp:posOffset>
              </wp:positionH>
              <wp:positionV relativeFrom="topMargin">
                <wp:posOffset>247650</wp:posOffset>
              </wp:positionV>
              <wp:extent cx="914400" cy="222250"/>
              <wp:effectExtent l="0" t="0" r="3810" b="63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solidFill>
                        <a:schemeClr val="accent1"/>
                      </a:solidFill>
                      <a:ln>
                        <a:noFill/>
                      </a:ln>
                    </wps:spPr>
                    <wps:txbx>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3A4D021" id="_x0000_t202" coordsize="21600,21600" o:spt="202" path="m,l,21600r21600,l21600,xe">
              <v:stroke joinstyle="miter"/>
              <v:path gradientshapeok="t" o:connecttype="rect"/>
            </v:shapetype>
            <v:shape id="Zone de texte 8" o:spid="_x0000_s1026" type="#_x0000_t202" style="position:absolute;left:0;text-align:left;margin-left:0;margin-top:19.5pt;width:1in;height:17.5pt;z-index:25167820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" o:allowincell="f" fillcolor="#549e39 [3204]" stroked="f">
              <v:textbox inset=",0,,0">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BEC8" w14:textId="77777777" w:rsidR="00E80AEE" w:rsidRDefault="00E80AEE">
    <w:pPr>
      <w:pStyle w:val="En-tte"/>
      <w:ind w:right="360"/>
    </w:pPr>
    <w:r>
      <w:rPr>
        <w:noProof/>
      </w:rPr>
      <mc:AlternateContent>
        <mc:Choice Requires="wps">
          <w:drawing>
            <wp:anchor distT="0" distB="0" distL="114300" distR="114300" simplePos="0" relativeHeight="251681280" behindDoc="0" locked="0" layoutInCell="0" allowOverlap="1" wp14:anchorId="69C05F1B" wp14:editId="140D82E0">
              <wp:simplePos x="0" y="0"/>
              <wp:positionH relativeFrom="page">
                <wp:posOffset>6750050</wp:posOffset>
              </wp:positionH>
              <wp:positionV relativeFrom="topMargin">
                <wp:posOffset>247650</wp:posOffset>
              </wp:positionV>
              <wp:extent cx="911860" cy="203200"/>
              <wp:effectExtent l="0" t="0" r="0" b="63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69C05F1B" id="_x0000_t202" coordsize="21600,21600" o:spt="202" path="m,l,21600r21600,l21600,xe">
              <v:stroke joinstyle="miter"/>
              <v:path gradientshapeok="t" o:connecttype="rect"/>
            </v:shapetype>
            <v:shape id="Zone de texte 17" o:spid="_x0000_s1027" type="#_x0000_t202" style="position:absolute;left:0;text-align:left;margin-left:531.5pt;margin-top:19.5pt;width:71.8pt;height:16pt;z-index:251681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bo8g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" o:allowincell="f" fillcolor="#549e39 [3204]" stroked="f">
              <v:textbox inset=",0,,0">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8ABE" w14:textId="268EDFC1" w:rsidR="00FE50F4" w:rsidRDefault="00FE50F4">
    <w:pPr>
      <w:pStyle w:val="En-tte"/>
    </w:pPr>
    <w:r>
      <w:rPr>
        <w:noProof/>
      </w:rPr>
      <mc:AlternateContent>
        <mc:Choice Requires="wps">
          <w:drawing>
            <wp:anchor distT="0" distB="0" distL="114300" distR="114300" simplePos="0" relativeHeight="251683328" behindDoc="0" locked="0" layoutInCell="0" allowOverlap="1" wp14:anchorId="522ABB04" wp14:editId="613B6B13">
              <wp:simplePos x="0" y="0"/>
              <wp:positionH relativeFrom="page">
                <wp:posOffset>6629400</wp:posOffset>
              </wp:positionH>
              <wp:positionV relativeFrom="topMargin">
                <wp:posOffset>441960</wp:posOffset>
              </wp:positionV>
              <wp:extent cx="911860" cy="203200"/>
              <wp:effectExtent l="0" t="0" r="0" b="63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22ABB04" id="_x0000_t202" coordsize="21600,21600" o:spt="202" path="m,l,21600r21600,l21600,xe">
              <v:stroke joinstyle="miter"/>
              <v:path gradientshapeok="t" o:connecttype="rect"/>
            </v:shapetype>
            <v:shape id="Zone de texte 6" o:spid="_x0000_s1028" type="#_x0000_t202" style="position:absolute;left:0;text-align:left;margin-left:522pt;margin-top:34.8pt;width:71.8pt;height:16pt;z-index:25168332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WL9A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" o:allowincell="f" fillcolor="#549e39 [3204]" stroked="f">
              <v:textbox inset=",0,,0">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EDCA" w14:textId="4873D562" w:rsidR="00E80AEE" w:rsidRDefault="00042EBA">
    <w:pPr>
      <w:pStyle w:val="En-tte"/>
      <w:framePr w:wrap="around" w:vAnchor="text" w:hAnchor="margin" w:xAlign="right" w:y="1"/>
      <w:rPr>
        <w:rStyle w:val="Numrodepage"/>
      </w:rPr>
    </w:pPr>
    <w:r>
      <w:rPr>
        <w:noProof/>
      </w:rPr>
      <mc:AlternateContent>
        <mc:Choice Requires="wps">
          <w:drawing>
            <wp:anchor distT="0" distB="0" distL="114300" distR="114300" simplePos="0" relativeHeight="251689472" behindDoc="0" locked="0" layoutInCell="0" allowOverlap="1" wp14:anchorId="1ECDF2FC" wp14:editId="5DEF73FA">
              <wp:simplePos x="0" y="0"/>
              <wp:positionH relativeFrom="page">
                <wp:posOffset>6942455</wp:posOffset>
              </wp:positionH>
              <wp:positionV relativeFrom="topMargin">
                <wp:posOffset>457835</wp:posOffset>
              </wp:positionV>
              <wp:extent cx="911860" cy="203200"/>
              <wp:effectExtent l="0" t="0" r="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0FF0C2B0" w14:textId="77777777" w:rsidR="00042EBA" w:rsidRPr="00000264" w:rsidRDefault="00042EBA" w:rsidP="00042EBA">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1ECDF2FC" id="_x0000_t202" coordsize="21600,21600" o:spt="202" path="m,l,21600r21600,l21600,xe">
              <v:stroke joinstyle="miter"/>
              <v:path gradientshapeok="t" o:connecttype="rect"/>
            </v:shapetype>
            <v:shape id="Zone de texte 3" o:spid="_x0000_s1029" type="#_x0000_t202" style="position:absolute;left:0;text-align:left;margin-left:546.65pt;margin-top:36.05pt;width:71.8pt;height:16pt;z-index:25168947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" o:allowincell="f" fillcolor="#549e39 [3204]" stroked="f">
              <v:textbox inset=",0,,0">
                <w:txbxContent>
                  <w:p w14:paraId="0FF0C2B0" w14:textId="77777777" w:rsidR="00042EBA" w:rsidRPr="00000264" w:rsidRDefault="00042EBA" w:rsidP="00042EBA">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r w:rsidR="00E80AEE">
      <w:rPr>
        <w:rStyle w:val="Numrodepage"/>
      </w:rPr>
      <w:fldChar w:fldCharType="begin"/>
    </w:r>
    <w:r w:rsidR="00E80AEE">
      <w:rPr>
        <w:rStyle w:val="Numrodepage"/>
      </w:rPr>
      <w:instrText xml:space="preserve">PAGE  </w:instrText>
    </w:r>
    <w:r w:rsidR="00E80AEE">
      <w:rPr>
        <w:rStyle w:val="Numrodepage"/>
      </w:rPr>
      <w:fldChar w:fldCharType="separate"/>
    </w:r>
    <w:r w:rsidR="007C0EDE">
      <w:rPr>
        <w:rStyle w:val="Numrodepage"/>
        <w:noProof/>
      </w:rPr>
      <w:t>3</w:t>
    </w:r>
    <w:r w:rsidR="00E80AEE">
      <w:rPr>
        <w:rStyle w:val="Numrodepage"/>
      </w:rPr>
      <w:fldChar w:fldCharType="end"/>
    </w:r>
  </w:p>
  <w:p w14:paraId="73E7DEF7" w14:textId="11E5D4A0" w:rsidR="00E80AEE" w:rsidRDefault="00042EBA" w:rsidP="00042EBA">
    <w:pPr>
      <w:pStyle w:val="En-tte"/>
      <w:ind w:right="360"/>
    </w:pPr>
    <w:r>
      <w:rPr>
        <w:noProof/>
      </w:rPr>
      <mc:AlternateContent>
        <mc:Choice Requires="wps">
          <w:drawing>
            <wp:anchor distT="0" distB="0" distL="114300" distR="114300" simplePos="0" relativeHeight="251691520" behindDoc="0" locked="0" layoutInCell="0" allowOverlap="1" wp14:anchorId="7873CD74" wp14:editId="5C7F1217">
              <wp:simplePos x="0" y="0"/>
              <wp:positionH relativeFrom="page">
                <wp:posOffset>6801485</wp:posOffset>
              </wp:positionH>
              <wp:positionV relativeFrom="topMargin">
                <wp:posOffset>457200</wp:posOffset>
              </wp:positionV>
              <wp:extent cx="911860" cy="203200"/>
              <wp:effectExtent l="0" t="0" r="0" b="635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373729A5" w14:textId="77777777" w:rsidR="00042EBA" w:rsidRPr="00000264" w:rsidRDefault="00042EBA" w:rsidP="00042EBA">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7873CD74" id="Zone de texte 5" o:spid="_x0000_s1030" type="#_x0000_t202" style="position:absolute;left:0;text-align:left;margin-left:535.55pt;margin-top:36pt;width:71.8pt;height:16pt;z-index:25169152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" o:allowincell="f" fillcolor="#549e39 [3204]" stroked="f">
              <v:textbox inset=",0,,0">
                <w:txbxContent>
                  <w:p w14:paraId="373729A5" w14:textId="77777777" w:rsidR="00042EBA" w:rsidRPr="00000264" w:rsidRDefault="00042EBA" w:rsidP="00042EBA">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2pt;height:252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FA42957"/>
    <w:multiLevelType w:val="hybridMultilevel"/>
    <w:tmpl w:val="91ACDD8C"/>
    <w:lvl w:ilvl="0" w:tplc="1C265120">
      <w:start w:val="630"/>
      <w:numFmt w:val="bullet"/>
      <w:lvlText w:val="-"/>
      <w:lvlJc w:val="left"/>
      <w:pPr>
        <w:ind w:left="720" w:hanging="360"/>
      </w:pPr>
      <w:rPr>
        <w:rFonts w:ascii="Century Gothic" w:eastAsiaTheme="minorEastAsia" w:hAnsi="Century Gothic" w:cstheme="minorBidi"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8"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1"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9"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5"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1741562631">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886721038">
    <w:abstractNumId w:val="37"/>
  </w:num>
  <w:num w:numId="3" w16cid:durableId="813838627">
    <w:abstractNumId w:val="3"/>
  </w:num>
  <w:num w:numId="4" w16cid:durableId="2052654756">
    <w:abstractNumId w:val="17"/>
  </w:num>
  <w:num w:numId="5" w16cid:durableId="1722747239">
    <w:abstractNumId w:val="15"/>
  </w:num>
  <w:num w:numId="6" w16cid:durableId="1253049243">
    <w:abstractNumId w:val="21"/>
  </w:num>
  <w:num w:numId="7" w16cid:durableId="1267736526">
    <w:abstractNumId w:val="23"/>
  </w:num>
  <w:num w:numId="8" w16cid:durableId="345450898">
    <w:abstractNumId w:val="7"/>
  </w:num>
  <w:num w:numId="9" w16cid:durableId="1828785257">
    <w:abstractNumId w:val="26"/>
  </w:num>
  <w:num w:numId="10" w16cid:durableId="1753119438">
    <w:abstractNumId w:val="38"/>
  </w:num>
  <w:num w:numId="11" w16cid:durableId="111872994">
    <w:abstractNumId w:val="40"/>
  </w:num>
  <w:num w:numId="12" w16cid:durableId="1428842212">
    <w:abstractNumId w:val="19"/>
  </w:num>
  <w:num w:numId="13" w16cid:durableId="782571924">
    <w:abstractNumId w:val="41"/>
  </w:num>
  <w:num w:numId="14" w16cid:durableId="1011034412">
    <w:abstractNumId w:val="12"/>
  </w:num>
  <w:num w:numId="15" w16cid:durableId="1268151105">
    <w:abstractNumId w:val="25"/>
  </w:num>
  <w:num w:numId="16" w16cid:durableId="698243568">
    <w:abstractNumId w:val="10"/>
  </w:num>
  <w:num w:numId="17" w16cid:durableId="807435778">
    <w:abstractNumId w:val="18"/>
  </w:num>
  <w:num w:numId="18" w16cid:durableId="1371997767">
    <w:abstractNumId w:val="34"/>
  </w:num>
  <w:num w:numId="19" w16cid:durableId="1334724540">
    <w:abstractNumId w:val="2"/>
  </w:num>
  <w:num w:numId="20" w16cid:durableId="1431008225">
    <w:abstractNumId w:val="27"/>
  </w:num>
  <w:num w:numId="21" w16cid:durableId="149061515">
    <w:abstractNumId w:val="13"/>
  </w:num>
  <w:num w:numId="22" w16cid:durableId="2004310587">
    <w:abstractNumId w:val="36"/>
  </w:num>
  <w:num w:numId="23" w16cid:durableId="736126062">
    <w:abstractNumId w:val="22"/>
  </w:num>
  <w:num w:numId="24" w16cid:durableId="942955545">
    <w:abstractNumId w:val="8"/>
  </w:num>
  <w:num w:numId="25" w16cid:durableId="704065866">
    <w:abstractNumId w:val="29"/>
  </w:num>
  <w:num w:numId="26" w16cid:durableId="473530127">
    <w:abstractNumId w:val="32"/>
  </w:num>
  <w:num w:numId="27" w16cid:durableId="483275829">
    <w:abstractNumId w:val="16"/>
  </w:num>
  <w:num w:numId="28" w16cid:durableId="156876058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679150">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7768050">
    <w:abstractNumId w:val="33"/>
  </w:num>
  <w:num w:numId="31" w16cid:durableId="1124495151">
    <w:abstractNumId w:val="1"/>
  </w:num>
  <w:num w:numId="32" w16cid:durableId="1697845947">
    <w:abstractNumId w:val="6"/>
  </w:num>
  <w:num w:numId="33" w16cid:durableId="994576910">
    <w:abstractNumId w:val="39"/>
  </w:num>
  <w:num w:numId="34" w16cid:durableId="1353261162">
    <w:abstractNumId w:val="24"/>
  </w:num>
  <w:num w:numId="35" w16cid:durableId="1471821839">
    <w:abstractNumId w:val="14"/>
  </w:num>
  <w:num w:numId="36" w16cid:durableId="1613131354">
    <w:abstractNumId w:val="35"/>
  </w:num>
  <w:num w:numId="37" w16cid:durableId="338392225">
    <w:abstractNumId w:val="11"/>
  </w:num>
  <w:num w:numId="38" w16cid:durableId="693851471">
    <w:abstractNumId w:val="31"/>
  </w:num>
  <w:num w:numId="39" w16cid:durableId="1638413958">
    <w:abstractNumId w:val="20"/>
  </w:num>
  <w:num w:numId="40" w16cid:durableId="43575482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FED"/>
    <w:rsid w:val="000027E3"/>
    <w:rsid w:val="0000369B"/>
    <w:rsid w:val="00003758"/>
    <w:rsid w:val="000041A3"/>
    <w:rsid w:val="000043B2"/>
    <w:rsid w:val="00005370"/>
    <w:rsid w:val="00005AC6"/>
    <w:rsid w:val="00005DCE"/>
    <w:rsid w:val="0000691E"/>
    <w:rsid w:val="00006A6A"/>
    <w:rsid w:val="00006C7E"/>
    <w:rsid w:val="00010CFC"/>
    <w:rsid w:val="00011A6A"/>
    <w:rsid w:val="00011DA6"/>
    <w:rsid w:val="00012942"/>
    <w:rsid w:val="00012C06"/>
    <w:rsid w:val="00013516"/>
    <w:rsid w:val="000142A5"/>
    <w:rsid w:val="0001548A"/>
    <w:rsid w:val="00015CA1"/>
    <w:rsid w:val="00015F16"/>
    <w:rsid w:val="00017689"/>
    <w:rsid w:val="000204DC"/>
    <w:rsid w:val="00020511"/>
    <w:rsid w:val="0002152B"/>
    <w:rsid w:val="000215B4"/>
    <w:rsid w:val="00021914"/>
    <w:rsid w:val="0002234B"/>
    <w:rsid w:val="00023361"/>
    <w:rsid w:val="000238A1"/>
    <w:rsid w:val="00023B93"/>
    <w:rsid w:val="00023FA3"/>
    <w:rsid w:val="00025A47"/>
    <w:rsid w:val="0002652A"/>
    <w:rsid w:val="00026E3F"/>
    <w:rsid w:val="0002763F"/>
    <w:rsid w:val="00027B24"/>
    <w:rsid w:val="00030ED2"/>
    <w:rsid w:val="000321BF"/>
    <w:rsid w:val="00032240"/>
    <w:rsid w:val="00033610"/>
    <w:rsid w:val="0003454F"/>
    <w:rsid w:val="000348D5"/>
    <w:rsid w:val="00034ED2"/>
    <w:rsid w:val="00034FAA"/>
    <w:rsid w:val="0003537A"/>
    <w:rsid w:val="000354A9"/>
    <w:rsid w:val="0003551B"/>
    <w:rsid w:val="000373B1"/>
    <w:rsid w:val="00037A98"/>
    <w:rsid w:val="00037AD7"/>
    <w:rsid w:val="00040A17"/>
    <w:rsid w:val="00040C78"/>
    <w:rsid w:val="0004115A"/>
    <w:rsid w:val="00041458"/>
    <w:rsid w:val="00041853"/>
    <w:rsid w:val="00042453"/>
    <w:rsid w:val="00042902"/>
    <w:rsid w:val="00042D7F"/>
    <w:rsid w:val="00042EBA"/>
    <w:rsid w:val="00042FDD"/>
    <w:rsid w:val="0004350B"/>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78D"/>
    <w:rsid w:val="00056E5A"/>
    <w:rsid w:val="000575C9"/>
    <w:rsid w:val="00061E70"/>
    <w:rsid w:val="00062287"/>
    <w:rsid w:val="000627B4"/>
    <w:rsid w:val="000628C0"/>
    <w:rsid w:val="00063200"/>
    <w:rsid w:val="00064B40"/>
    <w:rsid w:val="00064CF9"/>
    <w:rsid w:val="00065399"/>
    <w:rsid w:val="000659ED"/>
    <w:rsid w:val="00065AA2"/>
    <w:rsid w:val="00065DBD"/>
    <w:rsid w:val="000669A2"/>
    <w:rsid w:val="00066A7B"/>
    <w:rsid w:val="00067DC5"/>
    <w:rsid w:val="00067DDF"/>
    <w:rsid w:val="000711F6"/>
    <w:rsid w:val="0007237B"/>
    <w:rsid w:val="000724F7"/>
    <w:rsid w:val="00072649"/>
    <w:rsid w:val="00072883"/>
    <w:rsid w:val="0007364B"/>
    <w:rsid w:val="00073FB1"/>
    <w:rsid w:val="00074056"/>
    <w:rsid w:val="000746F4"/>
    <w:rsid w:val="000752B6"/>
    <w:rsid w:val="0007568B"/>
    <w:rsid w:val="00075892"/>
    <w:rsid w:val="00076216"/>
    <w:rsid w:val="00077F08"/>
    <w:rsid w:val="000805D5"/>
    <w:rsid w:val="00080E3A"/>
    <w:rsid w:val="00081A87"/>
    <w:rsid w:val="00081B44"/>
    <w:rsid w:val="00081E5C"/>
    <w:rsid w:val="00082156"/>
    <w:rsid w:val="00082416"/>
    <w:rsid w:val="0008359A"/>
    <w:rsid w:val="00083A7D"/>
    <w:rsid w:val="00083C6B"/>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F79"/>
    <w:rsid w:val="000971F6"/>
    <w:rsid w:val="00097B44"/>
    <w:rsid w:val="000A061B"/>
    <w:rsid w:val="000A1EC0"/>
    <w:rsid w:val="000A2BFC"/>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54F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3495"/>
    <w:rsid w:val="000C41B6"/>
    <w:rsid w:val="000C56F7"/>
    <w:rsid w:val="000C6B8F"/>
    <w:rsid w:val="000C71BF"/>
    <w:rsid w:val="000C7593"/>
    <w:rsid w:val="000D12E0"/>
    <w:rsid w:val="000D19F9"/>
    <w:rsid w:val="000D1FC6"/>
    <w:rsid w:val="000D20FE"/>
    <w:rsid w:val="000D2B16"/>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E0C35"/>
    <w:rsid w:val="000E1234"/>
    <w:rsid w:val="000E27F6"/>
    <w:rsid w:val="000E291B"/>
    <w:rsid w:val="000E297E"/>
    <w:rsid w:val="000E298A"/>
    <w:rsid w:val="000E29E5"/>
    <w:rsid w:val="000E2CE9"/>
    <w:rsid w:val="000E3049"/>
    <w:rsid w:val="000E344A"/>
    <w:rsid w:val="000E358E"/>
    <w:rsid w:val="000E3AD3"/>
    <w:rsid w:val="000E5215"/>
    <w:rsid w:val="000E5784"/>
    <w:rsid w:val="000E5AD2"/>
    <w:rsid w:val="000E7374"/>
    <w:rsid w:val="000F05F5"/>
    <w:rsid w:val="000F0EF3"/>
    <w:rsid w:val="000F1E15"/>
    <w:rsid w:val="000F2869"/>
    <w:rsid w:val="000F3387"/>
    <w:rsid w:val="000F40C6"/>
    <w:rsid w:val="000F41AA"/>
    <w:rsid w:val="000F41CF"/>
    <w:rsid w:val="000F5D4C"/>
    <w:rsid w:val="000F64FB"/>
    <w:rsid w:val="000F78F3"/>
    <w:rsid w:val="000F7D40"/>
    <w:rsid w:val="00101972"/>
    <w:rsid w:val="00101DFF"/>
    <w:rsid w:val="00102A65"/>
    <w:rsid w:val="00102D6F"/>
    <w:rsid w:val="00103396"/>
    <w:rsid w:val="00105387"/>
    <w:rsid w:val="0010549B"/>
    <w:rsid w:val="00105CD8"/>
    <w:rsid w:val="00106026"/>
    <w:rsid w:val="00106525"/>
    <w:rsid w:val="001070BB"/>
    <w:rsid w:val="00107588"/>
    <w:rsid w:val="001076DC"/>
    <w:rsid w:val="001077AC"/>
    <w:rsid w:val="00107A75"/>
    <w:rsid w:val="00107F9A"/>
    <w:rsid w:val="00110D19"/>
    <w:rsid w:val="00111CF5"/>
    <w:rsid w:val="00114732"/>
    <w:rsid w:val="00115316"/>
    <w:rsid w:val="00115351"/>
    <w:rsid w:val="00115CE2"/>
    <w:rsid w:val="00116639"/>
    <w:rsid w:val="001168D3"/>
    <w:rsid w:val="001171A1"/>
    <w:rsid w:val="00117ABC"/>
    <w:rsid w:val="00120481"/>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448"/>
    <w:rsid w:val="0013257C"/>
    <w:rsid w:val="00132E24"/>
    <w:rsid w:val="00132EAC"/>
    <w:rsid w:val="00133AB4"/>
    <w:rsid w:val="0013431A"/>
    <w:rsid w:val="00134BB4"/>
    <w:rsid w:val="0013569A"/>
    <w:rsid w:val="00136FE6"/>
    <w:rsid w:val="001373DE"/>
    <w:rsid w:val="001376CE"/>
    <w:rsid w:val="0014078B"/>
    <w:rsid w:val="00140EB2"/>
    <w:rsid w:val="00141C44"/>
    <w:rsid w:val="001429A1"/>
    <w:rsid w:val="00144C56"/>
    <w:rsid w:val="001454BB"/>
    <w:rsid w:val="00145B6C"/>
    <w:rsid w:val="001463DE"/>
    <w:rsid w:val="00146551"/>
    <w:rsid w:val="00146EA9"/>
    <w:rsid w:val="00147AA1"/>
    <w:rsid w:val="00150297"/>
    <w:rsid w:val="00150781"/>
    <w:rsid w:val="001512E0"/>
    <w:rsid w:val="00151DC5"/>
    <w:rsid w:val="0015221B"/>
    <w:rsid w:val="00153098"/>
    <w:rsid w:val="001531C5"/>
    <w:rsid w:val="00153F77"/>
    <w:rsid w:val="00154B87"/>
    <w:rsid w:val="00154E28"/>
    <w:rsid w:val="00155098"/>
    <w:rsid w:val="001559BA"/>
    <w:rsid w:val="001569A5"/>
    <w:rsid w:val="00157405"/>
    <w:rsid w:val="00157F86"/>
    <w:rsid w:val="00160B23"/>
    <w:rsid w:val="00160EB3"/>
    <w:rsid w:val="00160F2D"/>
    <w:rsid w:val="00161238"/>
    <w:rsid w:val="0016158C"/>
    <w:rsid w:val="0016378A"/>
    <w:rsid w:val="00163872"/>
    <w:rsid w:val="00164325"/>
    <w:rsid w:val="00164C94"/>
    <w:rsid w:val="00164FA3"/>
    <w:rsid w:val="00165D1B"/>
    <w:rsid w:val="0016620A"/>
    <w:rsid w:val="001669D1"/>
    <w:rsid w:val="00167200"/>
    <w:rsid w:val="00167DCD"/>
    <w:rsid w:val="0017061A"/>
    <w:rsid w:val="0017061F"/>
    <w:rsid w:val="00170C7B"/>
    <w:rsid w:val="001710DE"/>
    <w:rsid w:val="00171270"/>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822"/>
    <w:rsid w:val="00185CC3"/>
    <w:rsid w:val="00185FC4"/>
    <w:rsid w:val="00186940"/>
    <w:rsid w:val="00186A6E"/>
    <w:rsid w:val="001903C6"/>
    <w:rsid w:val="001905F1"/>
    <w:rsid w:val="00190F8D"/>
    <w:rsid w:val="00191180"/>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A2F"/>
    <w:rsid w:val="00196EAE"/>
    <w:rsid w:val="0019747A"/>
    <w:rsid w:val="00197941"/>
    <w:rsid w:val="00197E4E"/>
    <w:rsid w:val="001A081C"/>
    <w:rsid w:val="001A09E4"/>
    <w:rsid w:val="001A0D79"/>
    <w:rsid w:val="001A177F"/>
    <w:rsid w:val="001A2883"/>
    <w:rsid w:val="001A319F"/>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80C"/>
    <w:rsid w:val="001B1E6B"/>
    <w:rsid w:val="001B2497"/>
    <w:rsid w:val="001B2943"/>
    <w:rsid w:val="001B2CD6"/>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62F2"/>
    <w:rsid w:val="001C6CDF"/>
    <w:rsid w:val="001C79BB"/>
    <w:rsid w:val="001C7DAF"/>
    <w:rsid w:val="001D1478"/>
    <w:rsid w:val="001D1CC5"/>
    <w:rsid w:val="001D1EFC"/>
    <w:rsid w:val="001D2626"/>
    <w:rsid w:val="001D362C"/>
    <w:rsid w:val="001D3BC8"/>
    <w:rsid w:val="001D3DBA"/>
    <w:rsid w:val="001D476F"/>
    <w:rsid w:val="001D51D8"/>
    <w:rsid w:val="001D656D"/>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2FE"/>
    <w:rsid w:val="001E7C62"/>
    <w:rsid w:val="001E7DAC"/>
    <w:rsid w:val="001E7E29"/>
    <w:rsid w:val="001F0708"/>
    <w:rsid w:val="001F10EF"/>
    <w:rsid w:val="001F144B"/>
    <w:rsid w:val="001F150F"/>
    <w:rsid w:val="001F1DE0"/>
    <w:rsid w:val="001F202D"/>
    <w:rsid w:val="001F26D0"/>
    <w:rsid w:val="001F271E"/>
    <w:rsid w:val="001F29C0"/>
    <w:rsid w:val="001F2D22"/>
    <w:rsid w:val="001F2E1A"/>
    <w:rsid w:val="001F2EF2"/>
    <w:rsid w:val="001F48EB"/>
    <w:rsid w:val="001F4C87"/>
    <w:rsid w:val="001F4CA9"/>
    <w:rsid w:val="001F4D1A"/>
    <w:rsid w:val="001F4FB6"/>
    <w:rsid w:val="001F5278"/>
    <w:rsid w:val="001F54EA"/>
    <w:rsid w:val="001F5BD2"/>
    <w:rsid w:val="001F6463"/>
    <w:rsid w:val="001F7215"/>
    <w:rsid w:val="001F7531"/>
    <w:rsid w:val="00200A19"/>
    <w:rsid w:val="00200C2F"/>
    <w:rsid w:val="002012AA"/>
    <w:rsid w:val="00201451"/>
    <w:rsid w:val="00202329"/>
    <w:rsid w:val="0020292C"/>
    <w:rsid w:val="00202D51"/>
    <w:rsid w:val="00204A64"/>
    <w:rsid w:val="00204D2B"/>
    <w:rsid w:val="002061C9"/>
    <w:rsid w:val="002061D0"/>
    <w:rsid w:val="00206261"/>
    <w:rsid w:val="00207011"/>
    <w:rsid w:val="00207590"/>
    <w:rsid w:val="0021046E"/>
    <w:rsid w:val="00211105"/>
    <w:rsid w:val="002111D6"/>
    <w:rsid w:val="0021155E"/>
    <w:rsid w:val="00211A64"/>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5063B"/>
    <w:rsid w:val="00251126"/>
    <w:rsid w:val="00252B08"/>
    <w:rsid w:val="00252D52"/>
    <w:rsid w:val="00253722"/>
    <w:rsid w:val="00254587"/>
    <w:rsid w:val="002545A2"/>
    <w:rsid w:val="0025488C"/>
    <w:rsid w:val="00254F19"/>
    <w:rsid w:val="00255AB9"/>
    <w:rsid w:val="00256B25"/>
    <w:rsid w:val="00256FEA"/>
    <w:rsid w:val="00260278"/>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69F8"/>
    <w:rsid w:val="00267031"/>
    <w:rsid w:val="0026780C"/>
    <w:rsid w:val="00267FE8"/>
    <w:rsid w:val="002719D4"/>
    <w:rsid w:val="00272959"/>
    <w:rsid w:val="0027311C"/>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3884"/>
    <w:rsid w:val="00283C29"/>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511"/>
    <w:rsid w:val="0029364C"/>
    <w:rsid w:val="00294ABF"/>
    <w:rsid w:val="00294E56"/>
    <w:rsid w:val="0029589A"/>
    <w:rsid w:val="00296D44"/>
    <w:rsid w:val="00296E13"/>
    <w:rsid w:val="002979E4"/>
    <w:rsid w:val="00297F49"/>
    <w:rsid w:val="002A10E8"/>
    <w:rsid w:val="002A11AF"/>
    <w:rsid w:val="002A1676"/>
    <w:rsid w:val="002A23CD"/>
    <w:rsid w:val="002A2669"/>
    <w:rsid w:val="002A2C6A"/>
    <w:rsid w:val="002A2E59"/>
    <w:rsid w:val="002A3029"/>
    <w:rsid w:val="002A3462"/>
    <w:rsid w:val="002A3B5B"/>
    <w:rsid w:val="002A445E"/>
    <w:rsid w:val="002A483D"/>
    <w:rsid w:val="002A4D3E"/>
    <w:rsid w:val="002A52DC"/>
    <w:rsid w:val="002A555C"/>
    <w:rsid w:val="002A5B70"/>
    <w:rsid w:val="002A60EA"/>
    <w:rsid w:val="002A6344"/>
    <w:rsid w:val="002A63A9"/>
    <w:rsid w:val="002A6733"/>
    <w:rsid w:val="002A6D0A"/>
    <w:rsid w:val="002A6EB9"/>
    <w:rsid w:val="002A721D"/>
    <w:rsid w:val="002A766E"/>
    <w:rsid w:val="002B144D"/>
    <w:rsid w:val="002B182F"/>
    <w:rsid w:val="002B184B"/>
    <w:rsid w:val="002B1BDF"/>
    <w:rsid w:val="002B3B2B"/>
    <w:rsid w:val="002B4E85"/>
    <w:rsid w:val="002B5DF0"/>
    <w:rsid w:val="002B7370"/>
    <w:rsid w:val="002B797C"/>
    <w:rsid w:val="002C0318"/>
    <w:rsid w:val="002C0A2A"/>
    <w:rsid w:val="002C0CD2"/>
    <w:rsid w:val="002C0DB4"/>
    <w:rsid w:val="002C1117"/>
    <w:rsid w:val="002C20BD"/>
    <w:rsid w:val="002C248C"/>
    <w:rsid w:val="002C3184"/>
    <w:rsid w:val="002C357C"/>
    <w:rsid w:val="002C3C17"/>
    <w:rsid w:val="002C4041"/>
    <w:rsid w:val="002C4616"/>
    <w:rsid w:val="002C51EE"/>
    <w:rsid w:val="002C5605"/>
    <w:rsid w:val="002C581B"/>
    <w:rsid w:val="002C7519"/>
    <w:rsid w:val="002C7961"/>
    <w:rsid w:val="002C7D22"/>
    <w:rsid w:val="002D0E7E"/>
    <w:rsid w:val="002D0FAF"/>
    <w:rsid w:val="002D111E"/>
    <w:rsid w:val="002D1946"/>
    <w:rsid w:val="002D2195"/>
    <w:rsid w:val="002D2559"/>
    <w:rsid w:val="002D27CB"/>
    <w:rsid w:val="002D2B63"/>
    <w:rsid w:val="002D2BE8"/>
    <w:rsid w:val="002D38B5"/>
    <w:rsid w:val="002D3E02"/>
    <w:rsid w:val="002D4F46"/>
    <w:rsid w:val="002D5428"/>
    <w:rsid w:val="002D5A44"/>
    <w:rsid w:val="002D5D65"/>
    <w:rsid w:val="002D5F3D"/>
    <w:rsid w:val="002D6BF9"/>
    <w:rsid w:val="002D72F0"/>
    <w:rsid w:val="002D76D6"/>
    <w:rsid w:val="002D7A1F"/>
    <w:rsid w:val="002D7AD3"/>
    <w:rsid w:val="002E0053"/>
    <w:rsid w:val="002E02DA"/>
    <w:rsid w:val="002E1D2E"/>
    <w:rsid w:val="002E1DB9"/>
    <w:rsid w:val="002E2458"/>
    <w:rsid w:val="002E41F7"/>
    <w:rsid w:val="002E483C"/>
    <w:rsid w:val="002E56A3"/>
    <w:rsid w:val="002E5A6F"/>
    <w:rsid w:val="002E5E65"/>
    <w:rsid w:val="002E605C"/>
    <w:rsid w:val="002E6B68"/>
    <w:rsid w:val="002E79E8"/>
    <w:rsid w:val="002E7B2D"/>
    <w:rsid w:val="002E7C53"/>
    <w:rsid w:val="002E7C85"/>
    <w:rsid w:val="002F000F"/>
    <w:rsid w:val="002F09BD"/>
    <w:rsid w:val="002F21AB"/>
    <w:rsid w:val="002F224E"/>
    <w:rsid w:val="002F22FA"/>
    <w:rsid w:val="002F2DF2"/>
    <w:rsid w:val="002F5029"/>
    <w:rsid w:val="002F5066"/>
    <w:rsid w:val="002F57A2"/>
    <w:rsid w:val="002F632E"/>
    <w:rsid w:val="002F640A"/>
    <w:rsid w:val="002F67BE"/>
    <w:rsid w:val="003009ED"/>
    <w:rsid w:val="003013F6"/>
    <w:rsid w:val="0030175E"/>
    <w:rsid w:val="00301790"/>
    <w:rsid w:val="00301A0C"/>
    <w:rsid w:val="00301A30"/>
    <w:rsid w:val="0030214F"/>
    <w:rsid w:val="00302750"/>
    <w:rsid w:val="00304F0C"/>
    <w:rsid w:val="0030516D"/>
    <w:rsid w:val="0030550B"/>
    <w:rsid w:val="0030641E"/>
    <w:rsid w:val="00306BF3"/>
    <w:rsid w:val="00307B60"/>
    <w:rsid w:val="003103BA"/>
    <w:rsid w:val="00310C64"/>
    <w:rsid w:val="00310FBE"/>
    <w:rsid w:val="00311029"/>
    <w:rsid w:val="00312346"/>
    <w:rsid w:val="00312D21"/>
    <w:rsid w:val="00314829"/>
    <w:rsid w:val="00314A54"/>
    <w:rsid w:val="00316910"/>
    <w:rsid w:val="0031696D"/>
    <w:rsid w:val="00316DCE"/>
    <w:rsid w:val="00316F44"/>
    <w:rsid w:val="00317EBF"/>
    <w:rsid w:val="003201AA"/>
    <w:rsid w:val="00320918"/>
    <w:rsid w:val="00321A90"/>
    <w:rsid w:val="00322295"/>
    <w:rsid w:val="00322659"/>
    <w:rsid w:val="003237DF"/>
    <w:rsid w:val="0032380D"/>
    <w:rsid w:val="003244F9"/>
    <w:rsid w:val="0032492B"/>
    <w:rsid w:val="00325AA2"/>
    <w:rsid w:val="003268B7"/>
    <w:rsid w:val="003276A6"/>
    <w:rsid w:val="00327EE3"/>
    <w:rsid w:val="0033012C"/>
    <w:rsid w:val="0033022E"/>
    <w:rsid w:val="00330AA5"/>
    <w:rsid w:val="0033160E"/>
    <w:rsid w:val="00331DF8"/>
    <w:rsid w:val="00331E1C"/>
    <w:rsid w:val="00332217"/>
    <w:rsid w:val="00332A75"/>
    <w:rsid w:val="00333662"/>
    <w:rsid w:val="003338E6"/>
    <w:rsid w:val="0033419C"/>
    <w:rsid w:val="0033586A"/>
    <w:rsid w:val="003377EE"/>
    <w:rsid w:val="00337B97"/>
    <w:rsid w:val="00337BA8"/>
    <w:rsid w:val="00337D24"/>
    <w:rsid w:val="00337D92"/>
    <w:rsid w:val="00337F52"/>
    <w:rsid w:val="003402C9"/>
    <w:rsid w:val="00340C71"/>
    <w:rsid w:val="0034145F"/>
    <w:rsid w:val="00342CAC"/>
    <w:rsid w:val="0034395B"/>
    <w:rsid w:val="00343BCC"/>
    <w:rsid w:val="00344775"/>
    <w:rsid w:val="00344BD7"/>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C5A"/>
    <w:rsid w:val="00372773"/>
    <w:rsid w:val="003729BB"/>
    <w:rsid w:val="00372A64"/>
    <w:rsid w:val="00372BFA"/>
    <w:rsid w:val="00373692"/>
    <w:rsid w:val="00373BE7"/>
    <w:rsid w:val="00373DD6"/>
    <w:rsid w:val="00374768"/>
    <w:rsid w:val="00374B39"/>
    <w:rsid w:val="003752FC"/>
    <w:rsid w:val="00375A54"/>
    <w:rsid w:val="003775E1"/>
    <w:rsid w:val="00377C97"/>
    <w:rsid w:val="0038021F"/>
    <w:rsid w:val="00380547"/>
    <w:rsid w:val="003811D8"/>
    <w:rsid w:val="003814CC"/>
    <w:rsid w:val="003827BF"/>
    <w:rsid w:val="00382BA7"/>
    <w:rsid w:val="00383F77"/>
    <w:rsid w:val="00384727"/>
    <w:rsid w:val="003862AE"/>
    <w:rsid w:val="00386B0A"/>
    <w:rsid w:val="00387050"/>
    <w:rsid w:val="003909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C1CC3"/>
    <w:rsid w:val="003C2A9D"/>
    <w:rsid w:val="003C3B5B"/>
    <w:rsid w:val="003C3F77"/>
    <w:rsid w:val="003C4059"/>
    <w:rsid w:val="003C5A28"/>
    <w:rsid w:val="003C5D32"/>
    <w:rsid w:val="003C5F31"/>
    <w:rsid w:val="003C5F67"/>
    <w:rsid w:val="003C6118"/>
    <w:rsid w:val="003C6B2A"/>
    <w:rsid w:val="003C7199"/>
    <w:rsid w:val="003D0206"/>
    <w:rsid w:val="003D0D6A"/>
    <w:rsid w:val="003D2512"/>
    <w:rsid w:val="003D336B"/>
    <w:rsid w:val="003D3934"/>
    <w:rsid w:val="003D3D78"/>
    <w:rsid w:val="003D3E06"/>
    <w:rsid w:val="003D3EB0"/>
    <w:rsid w:val="003D4484"/>
    <w:rsid w:val="003D475A"/>
    <w:rsid w:val="003D47EA"/>
    <w:rsid w:val="003D4C45"/>
    <w:rsid w:val="003D4E22"/>
    <w:rsid w:val="003D7537"/>
    <w:rsid w:val="003D7573"/>
    <w:rsid w:val="003D791B"/>
    <w:rsid w:val="003D7C3A"/>
    <w:rsid w:val="003E05E0"/>
    <w:rsid w:val="003E0D0B"/>
    <w:rsid w:val="003E1352"/>
    <w:rsid w:val="003E174A"/>
    <w:rsid w:val="003E338E"/>
    <w:rsid w:val="003E414A"/>
    <w:rsid w:val="003E4779"/>
    <w:rsid w:val="003E4CAD"/>
    <w:rsid w:val="003E4EBE"/>
    <w:rsid w:val="003E4EC4"/>
    <w:rsid w:val="003E608A"/>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2026"/>
    <w:rsid w:val="00412340"/>
    <w:rsid w:val="00412429"/>
    <w:rsid w:val="0041252D"/>
    <w:rsid w:val="00412CCC"/>
    <w:rsid w:val="00413049"/>
    <w:rsid w:val="0041461E"/>
    <w:rsid w:val="004147CD"/>
    <w:rsid w:val="0041639F"/>
    <w:rsid w:val="00416CDD"/>
    <w:rsid w:val="00416E47"/>
    <w:rsid w:val="004170BD"/>
    <w:rsid w:val="00417132"/>
    <w:rsid w:val="00417208"/>
    <w:rsid w:val="004174EB"/>
    <w:rsid w:val="0041766B"/>
    <w:rsid w:val="00417C7C"/>
    <w:rsid w:val="00420046"/>
    <w:rsid w:val="004204E1"/>
    <w:rsid w:val="00421354"/>
    <w:rsid w:val="00421F17"/>
    <w:rsid w:val="0042269B"/>
    <w:rsid w:val="00423674"/>
    <w:rsid w:val="0042370F"/>
    <w:rsid w:val="004248FF"/>
    <w:rsid w:val="004249FE"/>
    <w:rsid w:val="00424F54"/>
    <w:rsid w:val="004254C7"/>
    <w:rsid w:val="00425795"/>
    <w:rsid w:val="00425ADA"/>
    <w:rsid w:val="00425DDC"/>
    <w:rsid w:val="00425E0C"/>
    <w:rsid w:val="004266DC"/>
    <w:rsid w:val="00426850"/>
    <w:rsid w:val="00426D07"/>
    <w:rsid w:val="00427650"/>
    <w:rsid w:val="004278C6"/>
    <w:rsid w:val="00427FEF"/>
    <w:rsid w:val="004308C9"/>
    <w:rsid w:val="00432284"/>
    <w:rsid w:val="00432313"/>
    <w:rsid w:val="00432A94"/>
    <w:rsid w:val="00432BFB"/>
    <w:rsid w:val="004334C7"/>
    <w:rsid w:val="00433B59"/>
    <w:rsid w:val="00433FB4"/>
    <w:rsid w:val="004346E8"/>
    <w:rsid w:val="00434BED"/>
    <w:rsid w:val="004351A1"/>
    <w:rsid w:val="004372F1"/>
    <w:rsid w:val="004378F7"/>
    <w:rsid w:val="00437DF5"/>
    <w:rsid w:val="00440C17"/>
    <w:rsid w:val="004413AD"/>
    <w:rsid w:val="0044149C"/>
    <w:rsid w:val="0044158B"/>
    <w:rsid w:val="004419A7"/>
    <w:rsid w:val="004422D7"/>
    <w:rsid w:val="004424B9"/>
    <w:rsid w:val="00442546"/>
    <w:rsid w:val="00442587"/>
    <w:rsid w:val="00443AB1"/>
    <w:rsid w:val="00444644"/>
    <w:rsid w:val="0044499F"/>
    <w:rsid w:val="00444D86"/>
    <w:rsid w:val="00444E40"/>
    <w:rsid w:val="004453C6"/>
    <w:rsid w:val="004457DD"/>
    <w:rsid w:val="0044583A"/>
    <w:rsid w:val="00445A6B"/>
    <w:rsid w:val="004464C0"/>
    <w:rsid w:val="00446D13"/>
    <w:rsid w:val="0045083B"/>
    <w:rsid w:val="00451C34"/>
    <w:rsid w:val="00451F74"/>
    <w:rsid w:val="004522F0"/>
    <w:rsid w:val="00452E5D"/>
    <w:rsid w:val="004530AA"/>
    <w:rsid w:val="00454393"/>
    <w:rsid w:val="00455C9B"/>
    <w:rsid w:val="0045627F"/>
    <w:rsid w:val="004568E7"/>
    <w:rsid w:val="004600A0"/>
    <w:rsid w:val="0046053B"/>
    <w:rsid w:val="004605BF"/>
    <w:rsid w:val="00461D74"/>
    <w:rsid w:val="0046257A"/>
    <w:rsid w:val="00462AD0"/>
    <w:rsid w:val="0046506C"/>
    <w:rsid w:val="00465318"/>
    <w:rsid w:val="0046597D"/>
    <w:rsid w:val="004663EB"/>
    <w:rsid w:val="00467A62"/>
    <w:rsid w:val="00467B07"/>
    <w:rsid w:val="0047152A"/>
    <w:rsid w:val="004726EC"/>
    <w:rsid w:val="00472789"/>
    <w:rsid w:val="00472D63"/>
    <w:rsid w:val="004738F5"/>
    <w:rsid w:val="00473B9C"/>
    <w:rsid w:val="00473C0D"/>
    <w:rsid w:val="004741D2"/>
    <w:rsid w:val="00474808"/>
    <w:rsid w:val="00475061"/>
    <w:rsid w:val="00475C42"/>
    <w:rsid w:val="0047675E"/>
    <w:rsid w:val="0047720F"/>
    <w:rsid w:val="00480D58"/>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EB3"/>
    <w:rsid w:val="0049478A"/>
    <w:rsid w:val="004955C4"/>
    <w:rsid w:val="00495733"/>
    <w:rsid w:val="00496053"/>
    <w:rsid w:val="00497036"/>
    <w:rsid w:val="00497304"/>
    <w:rsid w:val="004A0884"/>
    <w:rsid w:val="004A0C6B"/>
    <w:rsid w:val="004A0F7A"/>
    <w:rsid w:val="004A2965"/>
    <w:rsid w:val="004A2A7E"/>
    <w:rsid w:val="004A3409"/>
    <w:rsid w:val="004A3645"/>
    <w:rsid w:val="004A38AE"/>
    <w:rsid w:val="004A45B9"/>
    <w:rsid w:val="004A4E4B"/>
    <w:rsid w:val="004A4FE0"/>
    <w:rsid w:val="004A62A3"/>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B7D"/>
    <w:rsid w:val="004B5CDA"/>
    <w:rsid w:val="004B6302"/>
    <w:rsid w:val="004B6586"/>
    <w:rsid w:val="004B6CDB"/>
    <w:rsid w:val="004B7609"/>
    <w:rsid w:val="004C0C22"/>
    <w:rsid w:val="004C16A6"/>
    <w:rsid w:val="004C1ECC"/>
    <w:rsid w:val="004C44F8"/>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7E71"/>
    <w:rsid w:val="004E0A01"/>
    <w:rsid w:val="004E17B0"/>
    <w:rsid w:val="004E220F"/>
    <w:rsid w:val="004E2615"/>
    <w:rsid w:val="004E2636"/>
    <w:rsid w:val="004E3508"/>
    <w:rsid w:val="004E4EF3"/>
    <w:rsid w:val="004E5116"/>
    <w:rsid w:val="004E5B6C"/>
    <w:rsid w:val="004E5C9A"/>
    <w:rsid w:val="004E5CD1"/>
    <w:rsid w:val="004E6B75"/>
    <w:rsid w:val="004E7222"/>
    <w:rsid w:val="004E76D5"/>
    <w:rsid w:val="004F0409"/>
    <w:rsid w:val="004F0546"/>
    <w:rsid w:val="004F0662"/>
    <w:rsid w:val="004F0723"/>
    <w:rsid w:val="004F2F25"/>
    <w:rsid w:val="004F31D7"/>
    <w:rsid w:val="004F360A"/>
    <w:rsid w:val="004F4269"/>
    <w:rsid w:val="004F42B9"/>
    <w:rsid w:val="004F4AA6"/>
    <w:rsid w:val="004F53A4"/>
    <w:rsid w:val="004F576A"/>
    <w:rsid w:val="004F5BFE"/>
    <w:rsid w:val="004F6A1B"/>
    <w:rsid w:val="00500017"/>
    <w:rsid w:val="0050149A"/>
    <w:rsid w:val="00501859"/>
    <w:rsid w:val="00502822"/>
    <w:rsid w:val="0050371F"/>
    <w:rsid w:val="00503E35"/>
    <w:rsid w:val="00503F9D"/>
    <w:rsid w:val="0050511D"/>
    <w:rsid w:val="005054DE"/>
    <w:rsid w:val="00505E36"/>
    <w:rsid w:val="0050653D"/>
    <w:rsid w:val="0050695D"/>
    <w:rsid w:val="00506A2A"/>
    <w:rsid w:val="00507C2E"/>
    <w:rsid w:val="00507F50"/>
    <w:rsid w:val="00510207"/>
    <w:rsid w:val="0051116C"/>
    <w:rsid w:val="00511FA5"/>
    <w:rsid w:val="00512264"/>
    <w:rsid w:val="00512443"/>
    <w:rsid w:val="00512797"/>
    <w:rsid w:val="0051280E"/>
    <w:rsid w:val="005129BA"/>
    <w:rsid w:val="00512B1B"/>
    <w:rsid w:val="0051304D"/>
    <w:rsid w:val="00513D80"/>
    <w:rsid w:val="00514F28"/>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69BE"/>
    <w:rsid w:val="00526EED"/>
    <w:rsid w:val="0053038A"/>
    <w:rsid w:val="00531287"/>
    <w:rsid w:val="005324C1"/>
    <w:rsid w:val="0053462E"/>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E38"/>
    <w:rsid w:val="00546FE4"/>
    <w:rsid w:val="0054739C"/>
    <w:rsid w:val="00547518"/>
    <w:rsid w:val="00547CF8"/>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D"/>
    <w:rsid w:val="0057134B"/>
    <w:rsid w:val="00572041"/>
    <w:rsid w:val="0057288E"/>
    <w:rsid w:val="00573E7A"/>
    <w:rsid w:val="00573EF7"/>
    <w:rsid w:val="0057414E"/>
    <w:rsid w:val="00574410"/>
    <w:rsid w:val="00574E1A"/>
    <w:rsid w:val="0057741F"/>
    <w:rsid w:val="005778DD"/>
    <w:rsid w:val="00580963"/>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B73"/>
    <w:rsid w:val="00591F34"/>
    <w:rsid w:val="00593A6D"/>
    <w:rsid w:val="005942F6"/>
    <w:rsid w:val="00594ACE"/>
    <w:rsid w:val="00594EB5"/>
    <w:rsid w:val="00594ECD"/>
    <w:rsid w:val="00596293"/>
    <w:rsid w:val="005968AD"/>
    <w:rsid w:val="00597121"/>
    <w:rsid w:val="00597A06"/>
    <w:rsid w:val="00597A3A"/>
    <w:rsid w:val="005A0121"/>
    <w:rsid w:val="005A0895"/>
    <w:rsid w:val="005A08DF"/>
    <w:rsid w:val="005A0F09"/>
    <w:rsid w:val="005A18C6"/>
    <w:rsid w:val="005A245F"/>
    <w:rsid w:val="005A26FE"/>
    <w:rsid w:val="005A2F23"/>
    <w:rsid w:val="005A3384"/>
    <w:rsid w:val="005A3752"/>
    <w:rsid w:val="005A5C7B"/>
    <w:rsid w:val="005A5EC2"/>
    <w:rsid w:val="005A61F0"/>
    <w:rsid w:val="005A64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4530"/>
    <w:rsid w:val="006146E7"/>
    <w:rsid w:val="00614ACD"/>
    <w:rsid w:val="00615A87"/>
    <w:rsid w:val="00616262"/>
    <w:rsid w:val="00617398"/>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77B"/>
    <w:rsid w:val="00630FFF"/>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695"/>
    <w:rsid w:val="006367A9"/>
    <w:rsid w:val="00640163"/>
    <w:rsid w:val="00641FCB"/>
    <w:rsid w:val="00642F1F"/>
    <w:rsid w:val="00643372"/>
    <w:rsid w:val="00643A26"/>
    <w:rsid w:val="006445F0"/>
    <w:rsid w:val="00645259"/>
    <w:rsid w:val="00645524"/>
    <w:rsid w:val="00645A1B"/>
    <w:rsid w:val="00646283"/>
    <w:rsid w:val="0064675A"/>
    <w:rsid w:val="00646BAD"/>
    <w:rsid w:val="00650C25"/>
    <w:rsid w:val="00651AD3"/>
    <w:rsid w:val="006521A0"/>
    <w:rsid w:val="00653793"/>
    <w:rsid w:val="00654124"/>
    <w:rsid w:val="00655390"/>
    <w:rsid w:val="00655874"/>
    <w:rsid w:val="00655A54"/>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B08"/>
    <w:rsid w:val="00685347"/>
    <w:rsid w:val="006857FA"/>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F68"/>
    <w:rsid w:val="00697001"/>
    <w:rsid w:val="0069744F"/>
    <w:rsid w:val="00697CC8"/>
    <w:rsid w:val="00697CD0"/>
    <w:rsid w:val="006A134C"/>
    <w:rsid w:val="006A25BA"/>
    <w:rsid w:val="006A268A"/>
    <w:rsid w:val="006A3CF9"/>
    <w:rsid w:val="006A4011"/>
    <w:rsid w:val="006A4712"/>
    <w:rsid w:val="006A4ECE"/>
    <w:rsid w:val="006A54C6"/>
    <w:rsid w:val="006A5524"/>
    <w:rsid w:val="006A5563"/>
    <w:rsid w:val="006A5D1E"/>
    <w:rsid w:val="006A5ECA"/>
    <w:rsid w:val="006A632B"/>
    <w:rsid w:val="006A6895"/>
    <w:rsid w:val="006A7E0F"/>
    <w:rsid w:val="006B0032"/>
    <w:rsid w:val="006B10D3"/>
    <w:rsid w:val="006B177E"/>
    <w:rsid w:val="006B2284"/>
    <w:rsid w:val="006B2933"/>
    <w:rsid w:val="006B36CF"/>
    <w:rsid w:val="006B4593"/>
    <w:rsid w:val="006B52CF"/>
    <w:rsid w:val="006B56EA"/>
    <w:rsid w:val="006B6110"/>
    <w:rsid w:val="006B6319"/>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6680"/>
    <w:rsid w:val="006C77AA"/>
    <w:rsid w:val="006C7B3B"/>
    <w:rsid w:val="006D0509"/>
    <w:rsid w:val="006D0677"/>
    <w:rsid w:val="006D0CA8"/>
    <w:rsid w:val="006D1073"/>
    <w:rsid w:val="006D1333"/>
    <w:rsid w:val="006D1556"/>
    <w:rsid w:val="006D25A3"/>
    <w:rsid w:val="006D2D81"/>
    <w:rsid w:val="006D338E"/>
    <w:rsid w:val="006D4345"/>
    <w:rsid w:val="006D4551"/>
    <w:rsid w:val="006D616E"/>
    <w:rsid w:val="006D62E9"/>
    <w:rsid w:val="006D6C18"/>
    <w:rsid w:val="006D6F49"/>
    <w:rsid w:val="006D7044"/>
    <w:rsid w:val="006D70E7"/>
    <w:rsid w:val="006D7551"/>
    <w:rsid w:val="006E006F"/>
    <w:rsid w:val="006E0188"/>
    <w:rsid w:val="006E0606"/>
    <w:rsid w:val="006E11A2"/>
    <w:rsid w:val="006E187C"/>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F23"/>
    <w:rsid w:val="006F26A4"/>
    <w:rsid w:val="006F274E"/>
    <w:rsid w:val="006F306F"/>
    <w:rsid w:val="006F351E"/>
    <w:rsid w:val="006F3EB0"/>
    <w:rsid w:val="006F3F2E"/>
    <w:rsid w:val="006F43C2"/>
    <w:rsid w:val="006F4A39"/>
    <w:rsid w:val="006F5856"/>
    <w:rsid w:val="006F5C37"/>
    <w:rsid w:val="006F63A4"/>
    <w:rsid w:val="006F7BEC"/>
    <w:rsid w:val="00700069"/>
    <w:rsid w:val="00700996"/>
    <w:rsid w:val="00701E9E"/>
    <w:rsid w:val="00702337"/>
    <w:rsid w:val="0070258E"/>
    <w:rsid w:val="007037CB"/>
    <w:rsid w:val="00703F1C"/>
    <w:rsid w:val="0070416A"/>
    <w:rsid w:val="007046E8"/>
    <w:rsid w:val="00704CFD"/>
    <w:rsid w:val="00704DFB"/>
    <w:rsid w:val="00705C95"/>
    <w:rsid w:val="007060C7"/>
    <w:rsid w:val="00706206"/>
    <w:rsid w:val="00706219"/>
    <w:rsid w:val="00707146"/>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1DF7"/>
    <w:rsid w:val="0072240B"/>
    <w:rsid w:val="007230B0"/>
    <w:rsid w:val="00723B23"/>
    <w:rsid w:val="00723BA5"/>
    <w:rsid w:val="007240D7"/>
    <w:rsid w:val="00724414"/>
    <w:rsid w:val="007249A5"/>
    <w:rsid w:val="00725EED"/>
    <w:rsid w:val="007261CE"/>
    <w:rsid w:val="00726AF6"/>
    <w:rsid w:val="00726E09"/>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E97"/>
    <w:rsid w:val="007554FB"/>
    <w:rsid w:val="00755A4D"/>
    <w:rsid w:val="00755BB3"/>
    <w:rsid w:val="007563A7"/>
    <w:rsid w:val="00756629"/>
    <w:rsid w:val="00756855"/>
    <w:rsid w:val="007570ED"/>
    <w:rsid w:val="00757453"/>
    <w:rsid w:val="007578ED"/>
    <w:rsid w:val="00757C32"/>
    <w:rsid w:val="00760116"/>
    <w:rsid w:val="00761498"/>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9A"/>
    <w:rsid w:val="007810E9"/>
    <w:rsid w:val="00781254"/>
    <w:rsid w:val="00781640"/>
    <w:rsid w:val="00782283"/>
    <w:rsid w:val="007828C5"/>
    <w:rsid w:val="0078290B"/>
    <w:rsid w:val="00782A3D"/>
    <w:rsid w:val="007832E4"/>
    <w:rsid w:val="007838E1"/>
    <w:rsid w:val="00783E40"/>
    <w:rsid w:val="00785916"/>
    <w:rsid w:val="0078737A"/>
    <w:rsid w:val="00787892"/>
    <w:rsid w:val="00787A80"/>
    <w:rsid w:val="00787ED5"/>
    <w:rsid w:val="00791187"/>
    <w:rsid w:val="007914DA"/>
    <w:rsid w:val="00791C66"/>
    <w:rsid w:val="00791E34"/>
    <w:rsid w:val="007920CE"/>
    <w:rsid w:val="0079285B"/>
    <w:rsid w:val="00792948"/>
    <w:rsid w:val="00792E22"/>
    <w:rsid w:val="00793A09"/>
    <w:rsid w:val="00794975"/>
    <w:rsid w:val="007949ED"/>
    <w:rsid w:val="00795E2E"/>
    <w:rsid w:val="00796ED1"/>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80122E"/>
    <w:rsid w:val="00801743"/>
    <w:rsid w:val="00801B01"/>
    <w:rsid w:val="00801F13"/>
    <w:rsid w:val="00802AA0"/>
    <w:rsid w:val="00802B22"/>
    <w:rsid w:val="00802BD2"/>
    <w:rsid w:val="00802DBB"/>
    <w:rsid w:val="00802E93"/>
    <w:rsid w:val="0080308E"/>
    <w:rsid w:val="00803D81"/>
    <w:rsid w:val="00803DD4"/>
    <w:rsid w:val="00804085"/>
    <w:rsid w:val="00804117"/>
    <w:rsid w:val="00804A7F"/>
    <w:rsid w:val="00805113"/>
    <w:rsid w:val="00806BC8"/>
    <w:rsid w:val="008070E6"/>
    <w:rsid w:val="0080769B"/>
    <w:rsid w:val="00811544"/>
    <w:rsid w:val="008117A8"/>
    <w:rsid w:val="00811A00"/>
    <w:rsid w:val="00811C30"/>
    <w:rsid w:val="008120AE"/>
    <w:rsid w:val="00812812"/>
    <w:rsid w:val="00812C74"/>
    <w:rsid w:val="008134B9"/>
    <w:rsid w:val="0081390B"/>
    <w:rsid w:val="00813A8E"/>
    <w:rsid w:val="008141FF"/>
    <w:rsid w:val="0081426A"/>
    <w:rsid w:val="00814551"/>
    <w:rsid w:val="008145F1"/>
    <w:rsid w:val="00814ED6"/>
    <w:rsid w:val="008166CA"/>
    <w:rsid w:val="008173F7"/>
    <w:rsid w:val="0081757E"/>
    <w:rsid w:val="00817C65"/>
    <w:rsid w:val="0082011C"/>
    <w:rsid w:val="00820707"/>
    <w:rsid w:val="00820848"/>
    <w:rsid w:val="008214B9"/>
    <w:rsid w:val="008216F1"/>
    <w:rsid w:val="00821865"/>
    <w:rsid w:val="00822A20"/>
    <w:rsid w:val="008231D0"/>
    <w:rsid w:val="0082343C"/>
    <w:rsid w:val="00823B5B"/>
    <w:rsid w:val="00823BC9"/>
    <w:rsid w:val="00823C7B"/>
    <w:rsid w:val="00825305"/>
    <w:rsid w:val="008265E4"/>
    <w:rsid w:val="00826C12"/>
    <w:rsid w:val="008275DC"/>
    <w:rsid w:val="00830850"/>
    <w:rsid w:val="00830F11"/>
    <w:rsid w:val="00831199"/>
    <w:rsid w:val="0083135A"/>
    <w:rsid w:val="00831DA1"/>
    <w:rsid w:val="0083209E"/>
    <w:rsid w:val="00832EDF"/>
    <w:rsid w:val="0083322E"/>
    <w:rsid w:val="0083395F"/>
    <w:rsid w:val="00833D9A"/>
    <w:rsid w:val="00834000"/>
    <w:rsid w:val="0083423E"/>
    <w:rsid w:val="008346DD"/>
    <w:rsid w:val="00834DD9"/>
    <w:rsid w:val="00835ED7"/>
    <w:rsid w:val="0083649A"/>
    <w:rsid w:val="008370E4"/>
    <w:rsid w:val="00837726"/>
    <w:rsid w:val="00837854"/>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33F"/>
    <w:rsid w:val="00892708"/>
    <w:rsid w:val="00894F7F"/>
    <w:rsid w:val="00894FFB"/>
    <w:rsid w:val="00895715"/>
    <w:rsid w:val="008960BA"/>
    <w:rsid w:val="00896451"/>
    <w:rsid w:val="00897BBA"/>
    <w:rsid w:val="008A1C5A"/>
    <w:rsid w:val="008A2390"/>
    <w:rsid w:val="008A3129"/>
    <w:rsid w:val="008A3205"/>
    <w:rsid w:val="008A3CA6"/>
    <w:rsid w:val="008A4110"/>
    <w:rsid w:val="008A4C2A"/>
    <w:rsid w:val="008A53D2"/>
    <w:rsid w:val="008A5903"/>
    <w:rsid w:val="008A65C0"/>
    <w:rsid w:val="008A6E04"/>
    <w:rsid w:val="008A7521"/>
    <w:rsid w:val="008B02BC"/>
    <w:rsid w:val="008B0F5C"/>
    <w:rsid w:val="008B1374"/>
    <w:rsid w:val="008B19A1"/>
    <w:rsid w:val="008B1DA8"/>
    <w:rsid w:val="008B26CE"/>
    <w:rsid w:val="008B4152"/>
    <w:rsid w:val="008B43A2"/>
    <w:rsid w:val="008B466D"/>
    <w:rsid w:val="008B5389"/>
    <w:rsid w:val="008B5818"/>
    <w:rsid w:val="008B65F7"/>
    <w:rsid w:val="008B7FF2"/>
    <w:rsid w:val="008C0513"/>
    <w:rsid w:val="008C05F3"/>
    <w:rsid w:val="008C0A70"/>
    <w:rsid w:val="008C0D67"/>
    <w:rsid w:val="008C1797"/>
    <w:rsid w:val="008C191E"/>
    <w:rsid w:val="008C2B3F"/>
    <w:rsid w:val="008C3203"/>
    <w:rsid w:val="008C35F4"/>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832"/>
    <w:rsid w:val="008D4F02"/>
    <w:rsid w:val="008D54E0"/>
    <w:rsid w:val="008D6130"/>
    <w:rsid w:val="008D61AC"/>
    <w:rsid w:val="008D647F"/>
    <w:rsid w:val="008D6DB2"/>
    <w:rsid w:val="008D72AE"/>
    <w:rsid w:val="008E0DB2"/>
    <w:rsid w:val="008E11D4"/>
    <w:rsid w:val="008E1FE4"/>
    <w:rsid w:val="008E29A9"/>
    <w:rsid w:val="008E2A3F"/>
    <w:rsid w:val="008E4BB1"/>
    <w:rsid w:val="008E5369"/>
    <w:rsid w:val="008E6EA4"/>
    <w:rsid w:val="008E786A"/>
    <w:rsid w:val="008E7A0F"/>
    <w:rsid w:val="008F0149"/>
    <w:rsid w:val="008F018F"/>
    <w:rsid w:val="008F0341"/>
    <w:rsid w:val="008F0CEF"/>
    <w:rsid w:val="008F13E9"/>
    <w:rsid w:val="008F16DD"/>
    <w:rsid w:val="008F1BB5"/>
    <w:rsid w:val="008F1C1E"/>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BD5"/>
    <w:rsid w:val="00910E70"/>
    <w:rsid w:val="0091112E"/>
    <w:rsid w:val="009129BE"/>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BD"/>
    <w:rsid w:val="00927D19"/>
    <w:rsid w:val="00930422"/>
    <w:rsid w:val="009307CA"/>
    <w:rsid w:val="009320D0"/>
    <w:rsid w:val="009324DE"/>
    <w:rsid w:val="00932A7A"/>
    <w:rsid w:val="00932C63"/>
    <w:rsid w:val="00932DA4"/>
    <w:rsid w:val="00932E40"/>
    <w:rsid w:val="0093315F"/>
    <w:rsid w:val="00933803"/>
    <w:rsid w:val="00933E75"/>
    <w:rsid w:val="00935FEE"/>
    <w:rsid w:val="00936392"/>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1992"/>
    <w:rsid w:val="00961C6C"/>
    <w:rsid w:val="00961E2E"/>
    <w:rsid w:val="00961F2A"/>
    <w:rsid w:val="00962458"/>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7972"/>
    <w:rsid w:val="0098089B"/>
    <w:rsid w:val="009829A1"/>
    <w:rsid w:val="00983386"/>
    <w:rsid w:val="00984231"/>
    <w:rsid w:val="009849E9"/>
    <w:rsid w:val="00984C3F"/>
    <w:rsid w:val="009870E4"/>
    <w:rsid w:val="00987AC1"/>
    <w:rsid w:val="00990516"/>
    <w:rsid w:val="00990ED6"/>
    <w:rsid w:val="00991C4B"/>
    <w:rsid w:val="00992355"/>
    <w:rsid w:val="00992477"/>
    <w:rsid w:val="0099253E"/>
    <w:rsid w:val="00993E0A"/>
    <w:rsid w:val="0099577D"/>
    <w:rsid w:val="00995B34"/>
    <w:rsid w:val="00995C7E"/>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44D1"/>
    <w:rsid w:val="009A45F4"/>
    <w:rsid w:val="009A5367"/>
    <w:rsid w:val="009A57A2"/>
    <w:rsid w:val="009A5D14"/>
    <w:rsid w:val="009A6B7B"/>
    <w:rsid w:val="009A706B"/>
    <w:rsid w:val="009A7171"/>
    <w:rsid w:val="009A79ED"/>
    <w:rsid w:val="009B0634"/>
    <w:rsid w:val="009B08FA"/>
    <w:rsid w:val="009B0B1E"/>
    <w:rsid w:val="009B114D"/>
    <w:rsid w:val="009B1CB1"/>
    <w:rsid w:val="009B1F07"/>
    <w:rsid w:val="009B239E"/>
    <w:rsid w:val="009B4CD8"/>
    <w:rsid w:val="009B636F"/>
    <w:rsid w:val="009B6678"/>
    <w:rsid w:val="009B6BB5"/>
    <w:rsid w:val="009B7CE2"/>
    <w:rsid w:val="009C0499"/>
    <w:rsid w:val="009C0B0A"/>
    <w:rsid w:val="009C13E4"/>
    <w:rsid w:val="009C255F"/>
    <w:rsid w:val="009C3309"/>
    <w:rsid w:val="009C374D"/>
    <w:rsid w:val="009C43E9"/>
    <w:rsid w:val="009C4953"/>
    <w:rsid w:val="009C5053"/>
    <w:rsid w:val="009C56F4"/>
    <w:rsid w:val="009C5FBA"/>
    <w:rsid w:val="009C79CE"/>
    <w:rsid w:val="009D1D5D"/>
    <w:rsid w:val="009D2D01"/>
    <w:rsid w:val="009D30AA"/>
    <w:rsid w:val="009D385A"/>
    <w:rsid w:val="009D3CAA"/>
    <w:rsid w:val="009D3F0B"/>
    <w:rsid w:val="009D55D5"/>
    <w:rsid w:val="009D6765"/>
    <w:rsid w:val="009D6860"/>
    <w:rsid w:val="009D6DE5"/>
    <w:rsid w:val="009D6F3E"/>
    <w:rsid w:val="009D73EA"/>
    <w:rsid w:val="009D797C"/>
    <w:rsid w:val="009E0ED1"/>
    <w:rsid w:val="009E1002"/>
    <w:rsid w:val="009E104F"/>
    <w:rsid w:val="009E1963"/>
    <w:rsid w:val="009E26F8"/>
    <w:rsid w:val="009E2975"/>
    <w:rsid w:val="009E2ADA"/>
    <w:rsid w:val="009E2AF8"/>
    <w:rsid w:val="009E2DD6"/>
    <w:rsid w:val="009E3115"/>
    <w:rsid w:val="009E3BB9"/>
    <w:rsid w:val="009E470E"/>
    <w:rsid w:val="009E4CE3"/>
    <w:rsid w:val="009E4FE5"/>
    <w:rsid w:val="009E5228"/>
    <w:rsid w:val="009E5DFE"/>
    <w:rsid w:val="009E664A"/>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270"/>
    <w:rsid w:val="00A03E8F"/>
    <w:rsid w:val="00A045A1"/>
    <w:rsid w:val="00A045D7"/>
    <w:rsid w:val="00A04BCF"/>
    <w:rsid w:val="00A04F79"/>
    <w:rsid w:val="00A05592"/>
    <w:rsid w:val="00A0612A"/>
    <w:rsid w:val="00A06527"/>
    <w:rsid w:val="00A067F0"/>
    <w:rsid w:val="00A06A7A"/>
    <w:rsid w:val="00A074C9"/>
    <w:rsid w:val="00A07666"/>
    <w:rsid w:val="00A07BB9"/>
    <w:rsid w:val="00A108F7"/>
    <w:rsid w:val="00A10E59"/>
    <w:rsid w:val="00A114EF"/>
    <w:rsid w:val="00A140C8"/>
    <w:rsid w:val="00A14552"/>
    <w:rsid w:val="00A1540E"/>
    <w:rsid w:val="00A156A9"/>
    <w:rsid w:val="00A15826"/>
    <w:rsid w:val="00A15848"/>
    <w:rsid w:val="00A15958"/>
    <w:rsid w:val="00A15A2C"/>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25F"/>
    <w:rsid w:val="00A33352"/>
    <w:rsid w:val="00A33459"/>
    <w:rsid w:val="00A34961"/>
    <w:rsid w:val="00A34CA1"/>
    <w:rsid w:val="00A3522A"/>
    <w:rsid w:val="00A35BE1"/>
    <w:rsid w:val="00A364C7"/>
    <w:rsid w:val="00A367BE"/>
    <w:rsid w:val="00A37255"/>
    <w:rsid w:val="00A37606"/>
    <w:rsid w:val="00A378D4"/>
    <w:rsid w:val="00A404A1"/>
    <w:rsid w:val="00A40A1A"/>
    <w:rsid w:val="00A40AA4"/>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8D7"/>
    <w:rsid w:val="00A51C71"/>
    <w:rsid w:val="00A52C2A"/>
    <w:rsid w:val="00A537F0"/>
    <w:rsid w:val="00A54CE7"/>
    <w:rsid w:val="00A55297"/>
    <w:rsid w:val="00A559E9"/>
    <w:rsid w:val="00A5614F"/>
    <w:rsid w:val="00A569AD"/>
    <w:rsid w:val="00A56AC8"/>
    <w:rsid w:val="00A578C2"/>
    <w:rsid w:val="00A6034D"/>
    <w:rsid w:val="00A6037C"/>
    <w:rsid w:val="00A606CA"/>
    <w:rsid w:val="00A60D28"/>
    <w:rsid w:val="00A6173C"/>
    <w:rsid w:val="00A6194A"/>
    <w:rsid w:val="00A63090"/>
    <w:rsid w:val="00A633B8"/>
    <w:rsid w:val="00A64428"/>
    <w:rsid w:val="00A64896"/>
    <w:rsid w:val="00A6546E"/>
    <w:rsid w:val="00A66352"/>
    <w:rsid w:val="00A6649A"/>
    <w:rsid w:val="00A67039"/>
    <w:rsid w:val="00A677C3"/>
    <w:rsid w:val="00A67E1D"/>
    <w:rsid w:val="00A70093"/>
    <w:rsid w:val="00A70237"/>
    <w:rsid w:val="00A706DE"/>
    <w:rsid w:val="00A71E49"/>
    <w:rsid w:val="00A71FC6"/>
    <w:rsid w:val="00A72412"/>
    <w:rsid w:val="00A7263D"/>
    <w:rsid w:val="00A7277C"/>
    <w:rsid w:val="00A72E17"/>
    <w:rsid w:val="00A74090"/>
    <w:rsid w:val="00A742C6"/>
    <w:rsid w:val="00A742E4"/>
    <w:rsid w:val="00A74D9E"/>
    <w:rsid w:val="00A74DCF"/>
    <w:rsid w:val="00A752A8"/>
    <w:rsid w:val="00A752BD"/>
    <w:rsid w:val="00A75A45"/>
    <w:rsid w:val="00A75DDC"/>
    <w:rsid w:val="00A765A1"/>
    <w:rsid w:val="00A80827"/>
    <w:rsid w:val="00A810EE"/>
    <w:rsid w:val="00A812E5"/>
    <w:rsid w:val="00A81770"/>
    <w:rsid w:val="00A81EB6"/>
    <w:rsid w:val="00A828DC"/>
    <w:rsid w:val="00A832BE"/>
    <w:rsid w:val="00A83724"/>
    <w:rsid w:val="00A8409F"/>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DA3"/>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22E5"/>
    <w:rsid w:val="00AD3762"/>
    <w:rsid w:val="00AD3804"/>
    <w:rsid w:val="00AD3E59"/>
    <w:rsid w:val="00AD4A89"/>
    <w:rsid w:val="00AD4ACF"/>
    <w:rsid w:val="00AD4E74"/>
    <w:rsid w:val="00AD5346"/>
    <w:rsid w:val="00AD57D4"/>
    <w:rsid w:val="00AD594E"/>
    <w:rsid w:val="00AD597A"/>
    <w:rsid w:val="00AD5B6B"/>
    <w:rsid w:val="00AD5D8E"/>
    <w:rsid w:val="00AD6912"/>
    <w:rsid w:val="00AD76C5"/>
    <w:rsid w:val="00AD7AAA"/>
    <w:rsid w:val="00AE06BA"/>
    <w:rsid w:val="00AE28EA"/>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24C1"/>
    <w:rsid w:val="00B129F5"/>
    <w:rsid w:val="00B12B52"/>
    <w:rsid w:val="00B1334D"/>
    <w:rsid w:val="00B13E78"/>
    <w:rsid w:val="00B148F0"/>
    <w:rsid w:val="00B14CF7"/>
    <w:rsid w:val="00B154B9"/>
    <w:rsid w:val="00B16539"/>
    <w:rsid w:val="00B16AE8"/>
    <w:rsid w:val="00B173B9"/>
    <w:rsid w:val="00B17924"/>
    <w:rsid w:val="00B17D16"/>
    <w:rsid w:val="00B20413"/>
    <w:rsid w:val="00B209B6"/>
    <w:rsid w:val="00B20B35"/>
    <w:rsid w:val="00B21551"/>
    <w:rsid w:val="00B23212"/>
    <w:rsid w:val="00B23466"/>
    <w:rsid w:val="00B236FB"/>
    <w:rsid w:val="00B23DC1"/>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4985"/>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F7"/>
    <w:rsid w:val="00B42843"/>
    <w:rsid w:val="00B42A94"/>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7171"/>
    <w:rsid w:val="00B5799F"/>
    <w:rsid w:val="00B57B18"/>
    <w:rsid w:val="00B57F6A"/>
    <w:rsid w:val="00B62506"/>
    <w:rsid w:val="00B62D68"/>
    <w:rsid w:val="00B63298"/>
    <w:rsid w:val="00B633D7"/>
    <w:rsid w:val="00B63712"/>
    <w:rsid w:val="00B64152"/>
    <w:rsid w:val="00B64D04"/>
    <w:rsid w:val="00B656DA"/>
    <w:rsid w:val="00B65904"/>
    <w:rsid w:val="00B670EC"/>
    <w:rsid w:val="00B6771B"/>
    <w:rsid w:val="00B6791E"/>
    <w:rsid w:val="00B67999"/>
    <w:rsid w:val="00B679C2"/>
    <w:rsid w:val="00B67FF8"/>
    <w:rsid w:val="00B70E9A"/>
    <w:rsid w:val="00B7168C"/>
    <w:rsid w:val="00B717A9"/>
    <w:rsid w:val="00B717CA"/>
    <w:rsid w:val="00B718B3"/>
    <w:rsid w:val="00B72919"/>
    <w:rsid w:val="00B72A2C"/>
    <w:rsid w:val="00B72B25"/>
    <w:rsid w:val="00B72BB1"/>
    <w:rsid w:val="00B73D69"/>
    <w:rsid w:val="00B75694"/>
    <w:rsid w:val="00B756BC"/>
    <w:rsid w:val="00B7580E"/>
    <w:rsid w:val="00B75E16"/>
    <w:rsid w:val="00B7624D"/>
    <w:rsid w:val="00B765CE"/>
    <w:rsid w:val="00B768F3"/>
    <w:rsid w:val="00B8119C"/>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BC5"/>
    <w:rsid w:val="00BA0C43"/>
    <w:rsid w:val="00BA1EDA"/>
    <w:rsid w:val="00BA22F6"/>
    <w:rsid w:val="00BA3467"/>
    <w:rsid w:val="00BA34A6"/>
    <w:rsid w:val="00BA35B2"/>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B7916"/>
    <w:rsid w:val="00BC00F4"/>
    <w:rsid w:val="00BC069A"/>
    <w:rsid w:val="00BC0E7A"/>
    <w:rsid w:val="00BC0F5D"/>
    <w:rsid w:val="00BC18D9"/>
    <w:rsid w:val="00BC2714"/>
    <w:rsid w:val="00BC27F2"/>
    <w:rsid w:val="00BC38FF"/>
    <w:rsid w:val="00BC470E"/>
    <w:rsid w:val="00BC4781"/>
    <w:rsid w:val="00BC4B53"/>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13F"/>
    <w:rsid w:val="00BD468E"/>
    <w:rsid w:val="00BD4A05"/>
    <w:rsid w:val="00BD67D4"/>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5D6C"/>
    <w:rsid w:val="00BE6048"/>
    <w:rsid w:val="00BE61C9"/>
    <w:rsid w:val="00BE6705"/>
    <w:rsid w:val="00BE6773"/>
    <w:rsid w:val="00BE709D"/>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D43"/>
    <w:rsid w:val="00C063FF"/>
    <w:rsid w:val="00C1000B"/>
    <w:rsid w:val="00C10016"/>
    <w:rsid w:val="00C1048C"/>
    <w:rsid w:val="00C10824"/>
    <w:rsid w:val="00C11193"/>
    <w:rsid w:val="00C11B9E"/>
    <w:rsid w:val="00C12542"/>
    <w:rsid w:val="00C12899"/>
    <w:rsid w:val="00C13851"/>
    <w:rsid w:val="00C15063"/>
    <w:rsid w:val="00C150E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427A"/>
    <w:rsid w:val="00C245E6"/>
    <w:rsid w:val="00C249B0"/>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1EED"/>
    <w:rsid w:val="00C4211C"/>
    <w:rsid w:val="00C422F2"/>
    <w:rsid w:val="00C4253E"/>
    <w:rsid w:val="00C42B3E"/>
    <w:rsid w:val="00C42C4C"/>
    <w:rsid w:val="00C42D6F"/>
    <w:rsid w:val="00C437D3"/>
    <w:rsid w:val="00C4438D"/>
    <w:rsid w:val="00C44F69"/>
    <w:rsid w:val="00C45A28"/>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2694"/>
    <w:rsid w:val="00C6349A"/>
    <w:rsid w:val="00C64618"/>
    <w:rsid w:val="00C64690"/>
    <w:rsid w:val="00C64A93"/>
    <w:rsid w:val="00C64E7B"/>
    <w:rsid w:val="00C654E9"/>
    <w:rsid w:val="00C65D56"/>
    <w:rsid w:val="00C66A91"/>
    <w:rsid w:val="00C670C8"/>
    <w:rsid w:val="00C70E10"/>
    <w:rsid w:val="00C71E06"/>
    <w:rsid w:val="00C72E9E"/>
    <w:rsid w:val="00C734EE"/>
    <w:rsid w:val="00C738FE"/>
    <w:rsid w:val="00C73D6B"/>
    <w:rsid w:val="00C74436"/>
    <w:rsid w:val="00C750FF"/>
    <w:rsid w:val="00C7583B"/>
    <w:rsid w:val="00C761FE"/>
    <w:rsid w:val="00C76709"/>
    <w:rsid w:val="00C809AB"/>
    <w:rsid w:val="00C80BFD"/>
    <w:rsid w:val="00C80C2B"/>
    <w:rsid w:val="00C81073"/>
    <w:rsid w:val="00C81B6D"/>
    <w:rsid w:val="00C81CAE"/>
    <w:rsid w:val="00C83380"/>
    <w:rsid w:val="00C83853"/>
    <w:rsid w:val="00C83CD0"/>
    <w:rsid w:val="00C84937"/>
    <w:rsid w:val="00C85524"/>
    <w:rsid w:val="00C863B6"/>
    <w:rsid w:val="00C866C2"/>
    <w:rsid w:val="00C86799"/>
    <w:rsid w:val="00C87F14"/>
    <w:rsid w:val="00C90130"/>
    <w:rsid w:val="00C9040F"/>
    <w:rsid w:val="00C90A1B"/>
    <w:rsid w:val="00C90AC8"/>
    <w:rsid w:val="00C91745"/>
    <w:rsid w:val="00C91FC8"/>
    <w:rsid w:val="00C9292E"/>
    <w:rsid w:val="00C932CC"/>
    <w:rsid w:val="00C939F2"/>
    <w:rsid w:val="00C940E4"/>
    <w:rsid w:val="00C948DC"/>
    <w:rsid w:val="00C94D62"/>
    <w:rsid w:val="00C9500B"/>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E90"/>
    <w:rsid w:val="00CA4ED0"/>
    <w:rsid w:val="00CA5992"/>
    <w:rsid w:val="00CA621C"/>
    <w:rsid w:val="00CA7D97"/>
    <w:rsid w:val="00CB04D3"/>
    <w:rsid w:val="00CB0F7C"/>
    <w:rsid w:val="00CB10E2"/>
    <w:rsid w:val="00CB2282"/>
    <w:rsid w:val="00CB2D03"/>
    <w:rsid w:val="00CB31C0"/>
    <w:rsid w:val="00CB3396"/>
    <w:rsid w:val="00CB379D"/>
    <w:rsid w:val="00CB3829"/>
    <w:rsid w:val="00CB3860"/>
    <w:rsid w:val="00CB39E4"/>
    <w:rsid w:val="00CB3CB5"/>
    <w:rsid w:val="00CB4654"/>
    <w:rsid w:val="00CB4680"/>
    <w:rsid w:val="00CB502F"/>
    <w:rsid w:val="00CB524D"/>
    <w:rsid w:val="00CB55A5"/>
    <w:rsid w:val="00CB5667"/>
    <w:rsid w:val="00CB57E1"/>
    <w:rsid w:val="00CB5BE1"/>
    <w:rsid w:val="00CB5DCC"/>
    <w:rsid w:val="00CB6EAE"/>
    <w:rsid w:val="00CB7553"/>
    <w:rsid w:val="00CB7C11"/>
    <w:rsid w:val="00CC033F"/>
    <w:rsid w:val="00CC0578"/>
    <w:rsid w:val="00CC0A26"/>
    <w:rsid w:val="00CC141D"/>
    <w:rsid w:val="00CC2383"/>
    <w:rsid w:val="00CC2412"/>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4D7"/>
    <w:rsid w:val="00CF7303"/>
    <w:rsid w:val="00CF7432"/>
    <w:rsid w:val="00CF7860"/>
    <w:rsid w:val="00CF7AB7"/>
    <w:rsid w:val="00CF7B3A"/>
    <w:rsid w:val="00D001D7"/>
    <w:rsid w:val="00D0036A"/>
    <w:rsid w:val="00D00665"/>
    <w:rsid w:val="00D00E5D"/>
    <w:rsid w:val="00D0151E"/>
    <w:rsid w:val="00D018B8"/>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B8E"/>
    <w:rsid w:val="00D25CF6"/>
    <w:rsid w:val="00D2641D"/>
    <w:rsid w:val="00D2651B"/>
    <w:rsid w:val="00D266FC"/>
    <w:rsid w:val="00D269BC"/>
    <w:rsid w:val="00D27404"/>
    <w:rsid w:val="00D27456"/>
    <w:rsid w:val="00D277BF"/>
    <w:rsid w:val="00D27963"/>
    <w:rsid w:val="00D30062"/>
    <w:rsid w:val="00D3021B"/>
    <w:rsid w:val="00D304F8"/>
    <w:rsid w:val="00D307BA"/>
    <w:rsid w:val="00D30923"/>
    <w:rsid w:val="00D31718"/>
    <w:rsid w:val="00D31E84"/>
    <w:rsid w:val="00D33559"/>
    <w:rsid w:val="00D33E46"/>
    <w:rsid w:val="00D356B9"/>
    <w:rsid w:val="00D37584"/>
    <w:rsid w:val="00D37C2E"/>
    <w:rsid w:val="00D402C0"/>
    <w:rsid w:val="00D407C2"/>
    <w:rsid w:val="00D40E9E"/>
    <w:rsid w:val="00D4227C"/>
    <w:rsid w:val="00D42E96"/>
    <w:rsid w:val="00D4385B"/>
    <w:rsid w:val="00D44281"/>
    <w:rsid w:val="00D44D7F"/>
    <w:rsid w:val="00D450AF"/>
    <w:rsid w:val="00D451C4"/>
    <w:rsid w:val="00D45299"/>
    <w:rsid w:val="00D45A44"/>
    <w:rsid w:val="00D46973"/>
    <w:rsid w:val="00D4764D"/>
    <w:rsid w:val="00D47942"/>
    <w:rsid w:val="00D47BC4"/>
    <w:rsid w:val="00D47D4D"/>
    <w:rsid w:val="00D47F0B"/>
    <w:rsid w:val="00D50047"/>
    <w:rsid w:val="00D503EE"/>
    <w:rsid w:val="00D50A2D"/>
    <w:rsid w:val="00D50A4F"/>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379"/>
    <w:rsid w:val="00D70B66"/>
    <w:rsid w:val="00D70D5F"/>
    <w:rsid w:val="00D70F33"/>
    <w:rsid w:val="00D71002"/>
    <w:rsid w:val="00D716CF"/>
    <w:rsid w:val="00D71B0B"/>
    <w:rsid w:val="00D726EA"/>
    <w:rsid w:val="00D73D12"/>
    <w:rsid w:val="00D743BA"/>
    <w:rsid w:val="00D7683E"/>
    <w:rsid w:val="00D7691B"/>
    <w:rsid w:val="00D76966"/>
    <w:rsid w:val="00D7702E"/>
    <w:rsid w:val="00D7746F"/>
    <w:rsid w:val="00D778DB"/>
    <w:rsid w:val="00D77D2D"/>
    <w:rsid w:val="00D8011D"/>
    <w:rsid w:val="00D80BCF"/>
    <w:rsid w:val="00D81716"/>
    <w:rsid w:val="00D82082"/>
    <w:rsid w:val="00D8231B"/>
    <w:rsid w:val="00D828CC"/>
    <w:rsid w:val="00D82C1E"/>
    <w:rsid w:val="00D839CF"/>
    <w:rsid w:val="00D83C0B"/>
    <w:rsid w:val="00D84E7B"/>
    <w:rsid w:val="00D84F96"/>
    <w:rsid w:val="00D85FD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6FEF"/>
    <w:rsid w:val="00D97076"/>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8A3"/>
    <w:rsid w:val="00DA5D41"/>
    <w:rsid w:val="00DA674E"/>
    <w:rsid w:val="00DA7214"/>
    <w:rsid w:val="00DB01C2"/>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2226"/>
    <w:rsid w:val="00DE393F"/>
    <w:rsid w:val="00DE4B28"/>
    <w:rsid w:val="00DE4CC4"/>
    <w:rsid w:val="00DE4F29"/>
    <w:rsid w:val="00DE5E08"/>
    <w:rsid w:val="00DE6E83"/>
    <w:rsid w:val="00DE7416"/>
    <w:rsid w:val="00DE7427"/>
    <w:rsid w:val="00DE7B0B"/>
    <w:rsid w:val="00DF1921"/>
    <w:rsid w:val="00DF2B5C"/>
    <w:rsid w:val="00DF2E6A"/>
    <w:rsid w:val="00DF3B7C"/>
    <w:rsid w:val="00DF5319"/>
    <w:rsid w:val="00DF5B45"/>
    <w:rsid w:val="00DF73B0"/>
    <w:rsid w:val="00DF74AB"/>
    <w:rsid w:val="00DF793F"/>
    <w:rsid w:val="00DF7AB2"/>
    <w:rsid w:val="00DF7BD3"/>
    <w:rsid w:val="00DF7F46"/>
    <w:rsid w:val="00E000E2"/>
    <w:rsid w:val="00E00F18"/>
    <w:rsid w:val="00E01F7F"/>
    <w:rsid w:val="00E028B0"/>
    <w:rsid w:val="00E03E11"/>
    <w:rsid w:val="00E04067"/>
    <w:rsid w:val="00E0483D"/>
    <w:rsid w:val="00E05798"/>
    <w:rsid w:val="00E05D4A"/>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791"/>
    <w:rsid w:val="00E25E5F"/>
    <w:rsid w:val="00E26878"/>
    <w:rsid w:val="00E26A98"/>
    <w:rsid w:val="00E2703D"/>
    <w:rsid w:val="00E27292"/>
    <w:rsid w:val="00E274EA"/>
    <w:rsid w:val="00E27E36"/>
    <w:rsid w:val="00E303F7"/>
    <w:rsid w:val="00E3064C"/>
    <w:rsid w:val="00E31288"/>
    <w:rsid w:val="00E3228A"/>
    <w:rsid w:val="00E33035"/>
    <w:rsid w:val="00E330D3"/>
    <w:rsid w:val="00E332C8"/>
    <w:rsid w:val="00E33696"/>
    <w:rsid w:val="00E34034"/>
    <w:rsid w:val="00E342A8"/>
    <w:rsid w:val="00E34911"/>
    <w:rsid w:val="00E34C0D"/>
    <w:rsid w:val="00E35532"/>
    <w:rsid w:val="00E362A0"/>
    <w:rsid w:val="00E36927"/>
    <w:rsid w:val="00E36B97"/>
    <w:rsid w:val="00E3727D"/>
    <w:rsid w:val="00E379ED"/>
    <w:rsid w:val="00E40A74"/>
    <w:rsid w:val="00E4215D"/>
    <w:rsid w:val="00E42CAE"/>
    <w:rsid w:val="00E43014"/>
    <w:rsid w:val="00E4439B"/>
    <w:rsid w:val="00E44F4A"/>
    <w:rsid w:val="00E45F28"/>
    <w:rsid w:val="00E4606F"/>
    <w:rsid w:val="00E47D02"/>
    <w:rsid w:val="00E47D2C"/>
    <w:rsid w:val="00E47E9A"/>
    <w:rsid w:val="00E50CF5"/>
    <w:rsid w:val="00E51629"/>
    <w:rsid w:val="00E52481"/>
    <w:rsid w:val="00E5301C"/>
    <w:rsid w:val="00E53427"/>
    <w:rsid w:val="00E538F2"/>
    <w:rsid w:val="00E53F28"/>
    <w:rsid w:val="00E547FD"/>
    <w:rsid w:val="00E5517D"/>
    <w:rsid w:val="00E5518E"/>
    <w:rsid w:val="00E5572D"/>
    <w:rsid w:val="00E5590C"/>
    <w:rsid w:val="00E56126"/>
    <w:rsid w:val="00E60860"/>
    <w:rsid w:val="00E6115B"/>
    <w:rsid w:val="00E61508"/>
    <w:rsid w:val="00E62271"/>
    <w:rsid w:val="00E62856"/>
    <w:rsid w:val="00E62CE6"/>
    <w:rsid w:val="00E636BC"/>
    <w:rsid w:val="00E637D2"/>
    <w:rsid w:val="00E639E0"/>
    <w:rsid w:val="00E63C9C"/>
    <w:rsid w:val="00E6648C"/>
    <w:rsid w:val="00E66A42"/>
    <w:rsid w:val="00E67186"/>
    <w:rsid w:val="00E674CF"/>
    <w:rsid w:val="00E675FC"/>
    <w:rsid w:val="00E71583"/>
    <w:rsid w:val="00E71AB1"/>
    <w:rsid w:val="00E71E0B"/>
    <w:rsid w:val="00E72446"/>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4622"/>
    <w:rsid w:val="00E84A59"/>
    <w:rsid w:val="00E852A1"/>
    <w:rsid w:val="00E85570"/>
    <w:rsid w:val="00E86355"/>
    <w:rsid w:val="00E8636D"/>
    <w:rsid w:val="00E866D1"/>
    <w:rsid w:val="00E86759"/>
    <w:rsid w:val="00E86C74"/>
    <w:rsid w:val="00E874C2"/>
    <w:rsid w:val="00E87A31"/>
    <w:rsid w:val="00E87AD8"/>
    <w:rsid w:val="00E90F2F"/>
    <w:rsid w:val="00E91740"/>
    <w:rsid w:val="00E923E3"/>
    <w:rsid w:val="00E9261D"/>
    <w:rsid w:val="00E927F4"/>
    <w:rsid w:val="00E928B6"/>
    <w:rsid w:val="00E92AD0"/>
    <w:rsid w:val="00E93B25"/>
    <w:rsid w:val="00E93E84"/>
    <w:rsid w:val="00E93E96"/>
    <w:rsid w:val="00E94DA7"/>
    <w:rsid w:val="00E95059"/>
    <w:rsid w:val="00E951B8"/>
    <w:rsid w:val="00E9551D"/>
    <w:rsid w:val="00E9696A"/>
    <w:rsid w:val="00E970B3"/>
    <w:rsid w:val="00E971BD"/>
    <w:rsid w:val="00E971C2"/>
    <w:rsid w:val="00E972A1"/>
    <w:rsid w:val="00E97481"/>
    <w:rsid w:val="00EA0468"/>
    <w:rsid w:val="00EA090A"/>
    <w:rsid w:val="00EA1278"/>
    <w:rsid w:val="00EA1770"/>
    <w:rsid w:val="00EA181D"/>
    <w:rsid w:val="00EA1F4D"/>
    <w:rsid w:val="00EA2295"/>
    <w:rsid w:val="00EA2893"/>
    <w:rsid w:val="00EA2FDB"/>
    <w:rsid w:val="00EA309C"/>
    <w:rsid w:val="00EA3673"/>
    <w:rsid w:val="00EA46FC"/>
    <w:rsid w:val="00EA47B8"/>
    <w:rsid w:val="00EA4AD2"/>
    <w:rsid w:val="00EA4DBB"/>
    <w:rsid w:val="00EA5D68"/>
    <w:rsid w:val="00EA74C3"/>
    <w:rsid w:val="00EA7DF0"/>
    <w:rsid w:val="00EB04C3"/>
    <w:rsid w:val="00EB0737"/>
    <w:rsid w:val="00EB084D"/>
    <w:rsid w:val="00EB1139"/>
    <w:rsid w:val="00EB349F"/>
    <w:rsid w:val="00EB3561"/>
    <w:rsid w:val="00EB41BB"/>
    <w:rsid w:val="00EB4802"/>
    <w:rsid w:val="00EB5184"/>
    <w:rsid w:val="00EB5679"/>
    <w:rsid w:val="00EB5D90"/>
    <w:rsid w:val="00EB6DD5"/>
    <w:rsid w:val="00EC0E79"/>
    <w:rsid w:val="00EC1E1E"/>
    <w:rsid w:val="00EC24F4"/>
    <w:rsid w:val="00EC2B1F"/>
    <w:rsid w:val="00EC2E51"/>
    <w:rsid w:val="00EC39AF"/>
    <w:rsid w:val="00EC3F8E"/>
    <w:rsid w:val="00EC4831"/>
    <w:rsid w:val="00EC4ACE"/>
    <w:rsid w:val="00EC50A6"/>
    <w:rsid w:val="00EC589E"/>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4318"/>
    <w:rsid w:val="00EE578B"/>
    <w:rsid w:val="00EE5E5A"/>
    <w:rsid w:val="00EE7243"/>
    <w:rsid w:val="00EF1A91"/>
    <w:rsid w:val="00EF268F"/>
    <w:rsid w:val="00EF3976"/>
    <w:rsid w:val="00EF4B88"/>
    <w:rsid w:val="00EF4C5B"/>
    <w:rsid w:val="00EF4C96"/>
    <w:rsid w:val="00EF5294"/>
    <w:rsid w:val="00EF5487"/>
    <w:rsid w:val="00EF6219"/>
    <w:rsid w:val="00F006C9"/>
    <w:rsid w:val="00F0088E"/>
    <w:rsid w:val="00F0200F"/>
    <w:rsid w:val="00F02A59"/>
    <w:rsid w:val="00F0392F"/>
    <w:rsid w:val="00F049EA"/>
    <w:rsid w:val="00F06084"/>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5298"/>
    <w:rsid w:val="00F358A9"/>
    <w:rsid w:val="00F360E2"/>
    <w:rsid w:val="00F362A9"/>
    <w:rsid w:val="00F364E8"/>
    <w:rsid w:val="00F36837"/>
    <w:rsid w:val="00F3697C"/>
    <w:rsid w:val="00F36C0C"/>
    <w:rsid w:val="00F40D49"/>
    <w:rsid w:val="00F419A3"/>
    <w:rsid w:val="00F426FF"/>
    <w:rsid w:val="00F43771"/>
    <w:rsid w:val="00F44FA3"/>
    <w:rsid w:val="00F459F1"/>
    <w:rsid w:val="00F466AC"/>
    <w:rsid w:val="00F4684F"/>
    <w:rsid w:val="00F47C79"/>
    <w:rsid w:val="00F503E5"/>
    <w:rsid w:val="00F534F0"/>
    <w:rsid w:val="00F5400E"/>
    <w:rsid w:val="00F54AAD"/>
    <w:rsid w:val="00F54FFE"/>
    <w:rsid w:val="00F5528C"/>
    <w:rsid w:val="00F55401"/>
    <w:rsid w:val="00F55818"/>
    <w:rsid w:val="00F566CD"/>
    <w:rsid w:val="00F577F3"/>
    <w:rsid w:val="00F610ED"/>
    <w:rsid w:val="00F613B2"/>
    <w:rsid w:val="00F61857"/>
    <w:rsid w:val="00F61F34"/>
    <w:rsid w:val="00F62ACE"/>
    <w:rsid w:val="00F632CA"/>
    <w:rsid w:val="00F638A9"/>
    <w:rsid w:val="00F6480A"/>
    <w:rsid w:val="00F65472"/>
    <w:rsid w:val="00F65502"/>
    <w:rsid w:val="00F67B62"/>
    <w:rsid w:val="00F704A2"/>
    <w:rsid w:val="00F710D5"/>
    <w:rsid w:val="00F71261"/>
    <w:rsid w:val="00F71402"/>
    <w:rsid w:val="00F71CB2"/>
    <w:rsid w:val="00F71E0E"/>
    <w:rsid w:val="00F71FBB"/>
    <w:rsid w:val="00F72627"/>
    <w:rsid w:val="00F729C6"/>
    <w:rsid w:val="00F72BF4"/>
    <w:rsid w:val="00F72F8B"/>
    <w:rsid w:val="00F73977"/>
    <w:rsid w:val="00F73E6A"/>
    <w:rsid w:val="00F74503"/>
    <w:rsid w:val="00F74706"/>
    <w:rsid w:val="00F75618"/>
    <w:rsid w:val="00F75A9F"/>
    <w:rsid w:val="00F75C34"/>
    <w:rsid w:val="00F75D17"/>
    <w:rsid w:val="00F76AAC"/>
    <w:rsid w:val="00F76CDA"/>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DB"/>
    <w:rsid w:val="00F91ABC"/>
    <w:rsid w:val="00F91C5C"/>
    <w:rsid w:val="00F924F2"/>
    <w:rsid w:val="00F92831"/>
    <w:rsid w:val="00F932EC"/>
    <w:rsid w:val="00F93717"/>
    <w:rsid w:val="00F93DCC"/>
    <w:rsid w:val="00F93F2A"/>
    <w:rsid w:val="00F951F9"/>
    <w:rsid w:val="00F95347"/>
    <w:rsid w:val="00F956C3"/>
    <w:rsid w:val="00F95F03"/>
    <w:rsid w:val="00F9691D"/>
    <w:rsid w:val="00F96CE2"/>
    <w:rsid w:val="00F96F40"/>
    <w:rsid w:val="00F970B5"/>
    <w:rsid w:val="00F9769F"/>
    <w:rsid w:val="00F9785D"/>
    <w:rsid w:val="00F97BE8"/>
    <w:rsid w:val="00FA020E"/>
    <w:rsid w:val="00FA04F2"/>
    <w:rsid w:val="00FA0C83"/>
    <w:rsid w:val="00FA10C4"/>
    <w:rsid w:val="00FA1102"/>
    <w:rsid w:val="00FA1937"/>
    <w:rsid w:val="00FA1CA4"/>
    <w:rsid w:val="00FA2C0D"/>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40CB"/>
    <w:rsid w:val="00FB55DC"/>
    <w:rsid w:val="00FB5D00"/>
    <w:rsid w:val="00FB6085"/>
    <w:rsid w:val="00FB60B2"/>
    <w:rsid w:val="00FB6842"/>
    <w:rsid w:val="00FB68C4"/>
    <w:rsid w:val="00FB6B11"/>
    <w:rsid w:val="00FC01DD"/>
    <w:rsid w:val="00FC0829"/>
    <w:rsid w:val="00FC1071"/>
    <w:rsid w:val="00FC1696"/>
    <w:rsid w:val="00FC2593"/>
    <w:rsid w:val="00FC2615"/>
    <w:rsid w:val="00FC2FEB"/>
    <w:rsid w:val="00FC3226"/>
    <w:rsid w:val="00FC3CEA"/>
    <w:rsid w:val="00FC427A"/>
    <w:rsid w:val="00FC577A"/>
    <w:rsid w:val="00FC5E8F"/>
    <w:rsid w:val="00FC634D"/>
    <w:rsid w:val="00FC7244"/>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E7D"/>
    <w:rsid w:val="00FE1613"/>
    <w:rsid w:val="00FE1C7E"/>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6</Pages>
  <Words>1798</Words>
  <Characters>9891</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11666</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15</cp:revision>
  <cp:lastPrinted>2024-04-08T11:58:00Z</cp:lastPrinted>
  <dcterms:created xsi:type="dcterms:W3CDTF">2024-04-05T13:37:00Z</dcterms:created>
  <dcterms:modified xsi:type="dcterms:W3CDTF">2024-04-09T16:35:00Z</dcterms:modified>
</cp:coreProperties>
</file>